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360" w:rsidRDefault="00512360">
      <w:pPr>
        <w:rPr>
          <w:rtl/>
        </w:rPr>
      </w:pPr>
      <w:bookmarkStart w:id="0" w:name="_GoBack"/>
      <w:bookmarkEnd w:id="0"/>
    </w:p>
    <w:p w:rsidR="001F705A" w:rsidRDefault="001F705A">
      <w:pPr>
        <w:rPr>
          <w:rtl/>
        </w:rPr>
      </w:pPr>
    </w:p>
    <w:p w:rsidR="001F705A" w:rsidRDefault="001F705A">
      <w:pPr>
        <w:rPr>
          <w:rtl/>
        </w:rPr>
      </w:pPr>
    </w:p>
    <w:p w:rsidR="001F705A" w:rsidRDefault="001F705A" w:rsidP="001F705A">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1F705A" w:rsidTr="001F705A">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1F705A" w:rsidRDefault="001F705A">
                <w:pPr>
                  <w:pStyle w:val="a4"/>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1F705A" w:rsidTr="001F705A">
        <w:trPr>
          <w:trHeight w:val="337"/>
          <w:jc w:val="center"/>
        </w:trPr>
        <w:tc>
          <w:tcPr>
            <w:tcW w:w="5047" w:type="dxa"/>
          </w:tcPr>
          <w:p w:rsidR="001F705A" w:rsidRDefault="001F705A">
            <w:pPr>
              <w:rPr>
                <w:b/>
                <w:bCs/>
                <w:noProof w:val="0"/>
                <w:sz w:val="26"/>
                <w:szCs w:val="26"/>
                <w:rtl/>
              </w:rPr>
            </w:pPr>
          </w:p>
        </w:tc>
        <w:tc>
          <w:tcPr>
            <w:tcW w:w="3674" w:type="dxa"/>
          </w:tcPr>
          <w:p w:rsidR="001F705A" w:rsidRDefault="001F705A">
            <w:pPr>
              <w:pStyle w:val="a4"/>
              <w:jc w:val="right"/>
              <w:rPr>
                <w:b/>
                <w:bCs/>
                <w:noProof w:val="0"/>
                <w:sz w:val="26"/>
                <w:szCs w:val="26"/>
                <w:rtl/>
              </w:rPr>
            </w:pPr>
          </w:p>
        </w:tc>
      </w:tr>
      <w:tr w:rsidR="001F705A" w:rsidTr="001F705A">
        <w:trPr>
          <w:trHeight w:val="337"/>
          <w:jc w:val="center"/>
        </w:trPr>
        <w:tc>
          <w:tcPr>
            <w:tcW w:w="8721" w:type="dxa"/>
            <w:gridSpan w:val="2"/>
          </w:tcPr>
          <w:p w:rsidR="001F705A" w:rsidRDefault="001F705A" w:rsidP="00EA0D55">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16854-02-24 י</w:t>
            </w:r>
            <w:r w:rsidR="00EA0D55">
              <w:rPr>
                <w:rFonts w:hint="cs"/>
                <w:b/>
                <w:bCs/>
                <w:noProof w:val="0"/>
                <w:sz w:val="26"/>
                <w:szCs w:val="26"/>
                <w:rtl/>
              </w:rPr>
              <w:t>.</w:t>
            </w:r>
            <w:r>
              <w:rPr>
                <w:b/>
                <w:bCs/>
                <w:noProof w:val="0"/>
                <w:sz w:val="26"/>
                <w:szCs w:val="26"/>
                <w:rtl/>
              </w:rPr>
              <w:t xml:space="preserve"> נ' י</w:t>
            </w:r>
            <w:r w:rsidR="00EA0D55">
              <w:rPr>
                <w:rFonts w:hint="cs"/>
                <w:b/>
                <w:bCs/>
                <w:noProof w:val="0"/>
                <w:sz w:val="26"/>
                <w:szCs w:val="26"/>
                <w:rtl/>
              </w:rPr>
              <w:t>.</w:t>
            </w:r>
          </w:p>
          <w:p w:rsidR="001F705A" w:rsidRDefault="001F705A">
            <w:pPr>
              <w:rPr>
                <w:b/>
                <w:bCs/>
                <w:noProof w:val="0"/>
                <w:sz w:val="2"/>
                <w:szCs w:val="2"/>
                <w:rtl/>
              </w:rPr>
            </w:pPr>
          </w:p>
          <w:p w:rsidR="001F705A" w:rsidRDefault="001F705A">
            <w:pPr>
              <w:rPr>
                <w:sz w:val="20"/>
                <w:szCs w:val="20"/>
                <w:rtl/>
              </w:rPr>
            </w:pPr>
            <w:r>
              <w:rPr>
                <w:rtl/>
              </w:rPr>
              <w:t xml:space="preserve">                           </w:t>
            </w:r>
            <w:r>
              <w:rPr>
                <w:sz w:val="20"/>
                <w:szCs w:val="20"/>
                <w:rtl/>
              </w:rPr>
              <w:t xml:space="preserve">                                       </w:t>
            </w:r>
          </w:p>
          <w:p w:rsidR="001F705A" w:rsidRDefault="001F705A">
            <w:pPr>
              <w:rPr>
                <w:sz w:val="20"/>
                <w:szCs w:val="20"/>
                <w:rtl/>
              </w:rPr>
            </w:pPr>
          </w:p>
        </w:tc>
      </w:tr>
    </w:tbl>
    <w:p w:rsidR="001F705A" w:rsidRDefault="001F705A">
      <w:pPr>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1F705A" w:rsidTr="001F705A">
        <w:trPr>
          <w:trHeight w:val="295"/>
          <w:jc w:val="center"/>
        </w:trPr>
        <w:tc>
          <w:tcPr>
            <w:tcW w:w="5049" w:type="dxa"/>
            <w:gridSpan w:val="3"/>
            <w:hideMark/>
          </w:tcPr>
          <w:p w:rsidR="001F705A" w:rsidRDefault="001F705A">
            <w:pPr>
              <w:suppressLineNumbers/>
              <w:jc w:val="left"/>
              <w:rPr>
                <w:rFonts w:ascii="Arial" w:hAnsi="Arial"/>
                <w:b/>
                <w:bCs/>
                <w:noProof w:val="0"/>
                <w:sz w:val="26"/>
                <w:szCs w:val="26"/>
              </w:rPr>
            </w:pPr>
          </w:p>
        </w:tc>
        <w:tc>
          <w:tcPr>
            <w:tcW w:w="3771" w:type="dxa"/>
            <w:hideMark/>
          </w:tcPr>
          <w:p w:rsidR="001F705A" w:rsidRDefault="001F705A">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20</w:t>
            </w:r>
          </w:p>
        </w:tc>
      </w:tr>
      <w:tr w:rsidR="001F705A" w:rsidTr="001F705A">
        <w:trPr>
          <w:jc w:val="center"/>
        </w:trPr>
        <w:tc>
          <w:tcPr>
            <w:tcW w:w="743" w:type="dxa"/>
            <w:hideMark/>
          </w:tcPr>
          <w:p w:rsidR="001F705A" w:rsidRDefault="001F705A">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hideMark/>
          </w:tcPr>
          <w:p w:rsidR="001F705A" w:rsidRDefault="001F705A">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1F705A" w:rsidTr="001F705A">
        <w:trPr>
          <w:jc w:val="center"/>
        </w:trPr>
        <w:tc>
          <w:tcPr>
            <w:tcW w:w="3249" w:type="dxa"/>
            <w:gridSpan w:val="2"/>
          </w:tcPr>
          <w:p w:rsidR="001F705A" w:rsidRDefault="001F705A">
            <w:pPr>
              <w:suppressLineNumbers/>
              <w:rPr>
                <w:rFonts w:ascii="Arial" w:hAnsi="Arial"/>
                <w:b/>
                <w:bCs/>
                <w:noProof w:val="0"/>
                <w:sz w:val="26"/>
                <w:szCs w:val="26"/>
              </w:rPr>
            </w:pPr>
          </w:p>
          <w:p w:rsidR="001F705A" w:rsidRDefault="001F705A" w:rsidP="001F705A">
            <w:pPr>
              <w:suppressLineNumbers/>
              <w:tabs>
                <w:tab w:val="right" w:pos="3033"/>
              </w:tabs>
              <w:jc w:val="left"/>
              <w:rPr>
                <w:rFonts w:ascii="Arial" w:hAnsi="Arial"/>
                <w:b/>
                <w:bCs/>
                <w:noProof w:val="0"/>
                <w:sz w:val="26"/>
                <w:szCs w:val="26"/>
              </w:rPr>
            </w:pPr>
            <w:r>
              <w:rPr>
                <w:rFonts w:ascii="Arial" w:hAnsi="Arial"/>
                <w:b/>
                <w:bCs/>
                <w:noProof w:val="0"/>
                <w:sz w:val="26"/>
                <w:szCs w:val="26"/>
                <w:rtl/>
              </w:rPr>
              <w:t>מבקש</w:t>
            </w:r>
            <w:r>
              <w:rPr>
                <w:rFonts w:ascii="Arial" w:hAnsi="Arial"/>
                <w:b/>
                <w:bCs/>
                <w:noProof w:val="0"/>
                <w:sz w:val="26"/>
                <w:szCs w:val="26"/>
              </w:rPr>
              <w:tab/>
            </w:r>
          </w:p>
        </w:tc>
        <w:tc>
          <w:tcPr>
            <w:tcW w:w="5571" w:type="dxa"/>
            <w:gridSpan w:val="2"/>
          </w:tcPr>
          <w:p w:rsidR="001F705A" w:rsidRDefault="001F705A">
            <w:pPr>
              <w:suppressLineNumbers/>
              <w:rPr>
                <w:rFonts w:ascii="Arial" w:hAnsi="Arial"/>
                <w:b/>
                <w:bCs/>
                <w:noProof w:val="0"/>
                <w:sz w:val="26"/>
                <w:szCs w:val="26"/>
                <w:rtl/>
              </w:rPr>
            </w:pPr>
          </w:p>
          <w:p w:rsidR="001F705A" w:rsidRDefault="001F705A" w:rsidP="00EA0D55">
            <w:pPr>
              <w:suppressLineNumbers/>
              <w:jc w:val="left"/>
              <w:rPr>
                <w:b/>
                <w:bCs/>
                <w:noProof w:val="0"/>
                <w:sz w:val="26"/>
                <w:szCs w:val="26"/>
                <w:rtl/>
              </w:rPr>
            </w:pPr>
            <w:r>
              <w:rPr>
                <w:rFonts w:ascii="Arial" w:hAnsi="Arial"/>
                <w:b/>
                <w:bCs/>
                <w:noProof w:val="0"/>
                <w:sz w:val="26"/>
                <w:szCs w:val="26"/>
                <w:rtl/>
              </w:rPr>
              <w:t>י</w:t>
            </w:r>
            <w:r w:rsidR="00EA0D55">
              <w:rPr>
                <w:rFonts w:ascii="Arial" w:hAnsi="Arial" w:hint="cs"/>
                <w:b/>
                <w:bCs/>
                <w:noProof w:val="0"/>
                <w:sz w:val="26"/>
                <w:szCs w:val="26"/>
                <w:rtl/>
              </w:rPr>
              <w:t>.</w:t>
            </w:r>
            <w:r>
              <w:rPr>
                <w:rFonts w:ascii="Arial" w:hAnsi="Arial"/>
                <w:b/>
                <w:bCs/>
                <w:noProof w:val="0"/>
                <w:sz w:val="26"/>
                <w:szCs w:val="26"/>
                <w:rtl/>
              </w:rPr>
              <w:t xml:space="preserve"> י</w:t>
            </w:r>
            <w:r w:rsidR="00EA0D55">
              <w:rPr>
                <w:rFonts w:ascii="Arial" w:hAnsi="Arial" w:hint="cs"/>
                <w:b/>
                <w:bCs/>
                <w:noProof w:val="0"/>
                <w:sz w:val="26"/>
                <w:szCs w:val="26"/>
                <w:rtl/>
              </w:rPr>
              <w:t>.</w:t>
            </w:r>
          </w:p>
          <w:p w:rsidR="001F705A" w:rsidRDefault="001F705A">
            <w:pPr>
              <w:suppressLineNumbers/>
              <w:jc w:val="left"/>
              <w:rPr>
                <w:noProof w:val="0"/>
                <w:rtl/>
              </w:rPr>
            </w:pPr>
            <w:r>
              <w:rPr>
                <w:noProof w:val="0"/>
                <w:rtl/>
              </w:rPr>
              <w:t>מיוצג ע"י עו"ד מור כהן ממשרד עו"ד גיל שחף</w:t>
            </w:r>
          </w:p>
        </w:tc>
      </w:tr>
      <w:tr w:rsidR="001F705A" w:rsidTr="001F705A">
        <w:trPr>
          <w:jc w:val="center"/>
        </w:trPr>
        <w:tc>
          <w:tcPr>
            <w:tcW w:w="8820" w:type="dxa"/>
            <w:gridSpan w:val="4"/>
          </w:tcPr>
          <w:p w:rsidR="001F705A" w:rsidRDefault="001F705A">
            <w:pPr>
              <w:suppressLineNumbers/>
              <w:rPr>
                <w:rFonts w:ascii="Arial" w:hAnsi="Arial"/>
                <w:b/>
                <w:bCs/>
                <w:noProof w:val="0"/>
                <w:sz w:val="26"/>
                <w:szCs w:val="26"/>
              </w:rPr>
            </w:pPr>
          </w:p>
          <w:p w:rsidR="001F705A" w:rsidRDefault="001F705A">
            <w:pPr>
              <w:suppressLineNumbers/>
              <w:jc w:val="center"/>
              <w:rPr>
                <w:rFonts w:ascii="Arial" w:hAnsi="Arial"/>
                <w:b/>
                <w:bCs/>
                <w:noProof w:val="0"/>
                <w:sz w:val="26"/>
                <w:szCs w:val="26"/>
                <w:rtl/>
              </w:rPr>
            </w:pPr>
            <w:r>
              <w:rPr>
                <w:rFonts w:ascii="Arial" w:hAnsi="Arial"/>
                <w:b/>
                <w:bCs/>
                <w:noProof w:val="0"/>
                <w:sz w:val="26"/>
                <w:szCs w:val="26"/>
                <w:rtl/>
              </w:rPr>
              <w:t>נגד</w:t>
            </w:r>
          </w:p>
        </w:tc>
      </w:tr>
      <w:tr w:rsidR="001F705A" w:rsidTr="001F705A">
        <w:trPr>
          <w:jc w:val="center"/>
        </w:trPr>
        <w:tc>
          <w:tcPr>
            <w:tcW w:w="3249" w:type="dxa"/>
            <w:gridSpan w:val="2"/>
          </w:tcPr>
          <w:p w:rsidR="001F705A" w:rsidRDefault="001F705A">
            <w:pPr>
              <w:suppressLineNumbers/>
              <w:rPr>
                <w:rFonts w:ascii="Arial" w:hAnsi="Arial"/>
                <w:b/>
                <w:bCs/>
                <w:noProof w:val="0"/>
                <w:sz w:val="26"/>
                <w:szCs w:val="26"/>
              </w:rPr>
            </w:pPr>
          </w:p>
          <w:p w:rsidR="001F705A" w:rsidRDefault="001F705A">
            <w:pPr>
              <w:suppressLineNumbers/>
              <w:jc w:val="left"/>
              <w:rPr>
                <w:rFonts w:ascii="Arial" w:hAnsi="Arial"/>
                <w:b/>
                <w:bCs/>
                <w:noProof w:val="0"/>
                <w:sz w:val="26"/>
                <w:szCs w:val="26"/>
                <w:rtl/>
              </w:rPr>
            </w:pPr>
            <w:r>
              <w:rPr>
                <w:rFonts w:ascii="Arial" w:hAnsi="Arial"/>
                <w:b/>
                <w:bCs/>
                <w:noProof w:val="0"/>
                <w:sz w:val="26"/>
                <w:szCs w:val="26"/>
                <w:rtl/>
              </w:rPr>
              <w:t>משיבה</w:t>
            </w:r>
          </w:p>
        </w:tc>
        <w:tc>
          <w:tcPr>
            <w:tcW w:w="5571" w:type="dxa"/>
            <w:gridSpan w:val="2"/>
          </w:tcPr>
          <w:p w:rsidR="001F705A" w:rsidRDefault="001F705A">
            <w:pPr>
              <w:suppressLineNumbers/>
              <w:rPr>
                <w:rFonts w:ascii="Arial" w:hAnsi="Arial"/>
                <w:b/>
                <w:bCs/>
                <w:noProof w:val="0"/>
                <w:sz w:val="26"/>
                <w:szCs w:val="26"/>
              </w:rPr>
            </w:pPr>
          </w:p>
          <w:p w:rsidR="001F705A" w:rsidRDefault="001F705A" w:rsidP="00EA0D55">
            <w:pPr>
              <w:suppressLineNumbers/>
              <w:jc w:val="left"/>
              <w:rPr>
                <w:b/>
                <w:bCs/>
                <w:noProof w:val="0"/>
                <w:sz w:val="26"/>
                <w:szCs w:val="26"/>
                <w:rtl/>
              </w:rPr>
            </w:pPr>
            <w:r>
              <w:rPr>
                <w:rFonts w:ascii="Arial" w:hAnsi="Arial"/>
                <w:b/>
                <w:bCs/>
                <w:noProof w:val="0"/>
                <w:sz w:val="26"/>
                <w:szCs w:val="26"/>
                <w:rtl/>
              </w:rPr>
              <w:t>א</w:t>
            </w:r>
            <w:r w:rsidR="00EA0D55">
              <w:rPr>
                <w:rFonts w:ascii="Arial" w:hAnsi="Arial" w:hint="cs"/>
                <w:b/>
                <w:bCs/>
                <w:noProof w:val="0"/>
                <w:sz w:val="26"/>
                <w:szCs w:val="26"/>
                <w:rtl/>
              </w:rPr>
              <w:t>.</w:t>
            </w:r>
            <w:r>
              <w:rPr>
                <w:rFonts w:ascii="Arial" w:hAnsi="Arial"/>
                <w:b/>
                <w:bCs/>
                <w:noProof w:val="0"/>
                <w:sz w:val="26"/>
                <w:szCs w:val="26"/>
                <w:rtl/>
              </w:rPr>
              <w:t>י</w:t>
            </w:r>
            <w:r w:rsidR="00EA0D55">
              <w:rPr>
                <w:rFonts w:ascii="Arial" w:hAnsi="Arial" w:hint="cs"/>
                <w:b/>
                <w:bCs/>
                <w:noProof w:val="0"/>
                <w:sz w:val="26"/>
                <w:szCs w:val="26"/>
                <w:rtl/>
              </w:rPr>
              <w:t>.</w:t>
            </w:r>
          </w:p>
          <w:p w:rsidR="001F705A" w:rsidRDefault="001F705A">
            <w:pPr>
              <w:suppressLineNumbers/>
              <w:jc w:val="left"/>
              <w:rPr>
                <w:noProof w:val="0"/>
                <w:rtl/>
              </w:rPr>
            </w:pPr>
            <w:r>
              <w:rPr>
                <w:noProof w:val="0"/>
                <w:rtl/>
              </w:rPr>
              <w:t>מיוצגת ע"י עו"ד שירה גואטה</w:t>
            </w:r>
          </w:p>
        </w:tc>
      </w:tr>
      <w:tr w:rsidR="001F705A" w:rsidTr="001F705A">
        <w:trPr>
          <w:jc w:val="center"/>
        </w:trPr>
        <w:tc>
          <w:tcPr>
            <w:tcW w:w="8820" w:type="dxa"/>
            <w:gridSpan w:val="4"/>
          </w:tcPr>
          <w:p w:rsidR="001F705A" w:rsidRDefault="001F705A">
            <w:pPr>
              <w:suppressLineNumbers/>
              <w:rPr>
                <w:rFonts w:ascii="Arial" w:hAnsi="Arial"/>
                <w:b/>
                <w:bCs/>
                <w:noProof w:val="0"/>
                <w:sz w:val="26"/>
                <w:szCs w:val="26"/>
                <w:rtl/>
              </w:rPr>
            </w:pPr>
          </w:p>
        </w:tc>
      </w:tr>
    </w:tbl>
    <w:p w:rsidR="001F705A" w:rsidRDefault="001F705A" w:rsidP="001F705A">
      <w:pPr>
        <w:suppressLineNumbers/>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F705A" w:rsidTr="001F705A">
        <w:trPr>
          <w:jc w:val="center"/>
        </w:trPr>
        <w:tc>
          <w:tcPr>
            <w:tcW w:w="8820" w:type="dxa"/>
          </w:tcPr>
          <w:p w:rsidR="001F705A" w:rsidRDefault="001F705A">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1F705A" w:rsidRDefault="001F705A">
            <w:pPr>
              <w:bidi w:val="0"/>
              <w:jc w:val="center"/>
              <w:rPr>
                <w:rFonts w:ascii="Arial" w:hAnsi="Arial"/>
                <w:b/>
                <w:bCs/>
                <w:noProof w:val="0"/>
                <w:sz w:val="28"/>
                <w:szCs w:val="28"/>
                <w:u w:val="single"/>
                <w:rtl/>
              </w:rPr>
            </w:pPr>
          </w:p>
        </w:tc>
      </w:tr>
    </w:tbl>
    <w:p w:rsidR="001F705A" w:rsidRDefault="001F705A" w:rsidP="001F705A">
      <w:pPr>
        <w:jc w:val="both"/>
        <w:rPr>
          <w:rFonts w:ascii="David" w:hAnsi="David"/>
          <w:noProof w:val="0"/>
        </w:rPr>
      </w:pPr>
      <w:bookmarkStart w:id="1" w:name="NGCSBookmark"/>
      <w:bookmarkEnd w:id="1"/>
      <w:r>
        <w:rPr>
          <w:rFonts w:ascii="David" w:hAnsi="David"/>
          <w:rtl/>
        </w:rPr>
        <w:t>לפני בקשה שכותרתה "</w:t>
      </w:r>
      <w:r>
        <w:rPr>
          <w:rFonts w:ascii="David" w:hAnsi="David"/>
          <w:u w:val="single"/>
          <w:rtl/>
        </w:rPr>
        <w:t>בקשה לתיקון טעות בהכרעה"</w:t>
      </w:r>
      <w:r>
        <w:rPr>
          <w:rFonts w:ascii="David" w:hAnsi="David"/>
          <w:rtl/>
        </w:rPr>
        <w:t>. (להלן-</w:t>
      </w:r>
      <w:r>
        <w:rPr>
          <w:rFonts w:ascii="Miriam" w:hAnsi="Miriam" w:cs="Miriam"/>
          <w:b/>
          <w:bCs/>
          <w:rtl/>
        </w:rPr>
        <w:t>הבקשה</w:t>
      </w:r>
      <w:r>
        <w:rPr>
          <w:rFonts w:ascii="David" w:hAnsi="David"/>
          <w:rtl/>
        </w:rPr>
        <w:t xml:space="preserve">). </w:t>
      </w:r>
    </w:p>
    <w:p w:rsidR="001F705A" w:rsidRDefault="001F705A" w:rsidP="001F705A">
      <w:pPr>
        <w:jc w:val="both"/>
        <w:rPr>
          <w:rFonts w:ascii="David" w:hAnsi="David"/>
          <w:noProof w:val="0"/>
          <w:rtl/>
        </w:rPr>
      </w:pPr>
    </w:p>
    <w:p w:rsidR="001F705A" w:rsidRDefault="001F705A" w:rsidP="001F705A">
      <w:pPr>
        <w:spacing w:line="360" w:lineRule="auto"/>
        <w:jc w:val="both"/>
        <w:rPr>
          <w:rFonts w:ascii="David" w:hAnsi="David"/>
        </w:rPr>
      </w:pPr>
      <w:r>
        <w:rPr>
          <w:rFonts w:ascii="David" w:hAnsi="David"/>
          <w:rtl/>
        </w:rPr>
        <w:t xml:space="preserve">הבקשה הוגשה על ידי התובע בתיק זה (הנתבעת דכאן הגישה גם היא תביעה לאחריות הורית והסדרי שהות- </w:t>
      </w:r>
      <w:r>
        <w:rPr>
          <w:rFonts w:ascii="David" w:hAnsi="David"/>
          <w:u w:val="single"/>
          <w:rtl/>
        </w:rPr>
        <w:t>תלה"מ 29558-02-24)</w:t>
      </w:r>
      <w:r>
        <w:rPr>
          <w:rFonts w:ascii="David" w:hAnsi="David"/>
          <w:rtl/>
        </w:rPr>
        <w:t xml:space="preserve"> מכוונת לפסק דיני מיום 6.7.2024 (להלן-</w:t>
      </w:r>
      <w:r>
        <w:rPr>
          <w:rFonts w:ascii="Miriam" w:hAnsi="Miriam" w:cs="Miriam"/>
          <w:b/>
          <w:bCs/>
          <w:rtl/>
        </w:rPr>
        <w:t>פסק הדין</w:t>
      </w:r>
      <w:r>
        <w:rPr>
          <w:rFonts w:ascii="David" w:hAnsi="David"/>
          <w:rtl/>
        </w:rPr>
        <w:t>). פסק הדין קבע אחריות הורית והסדרי שהות וסיים את ההליכים בשני התיקים.</w:t>
      </w:r>
    </w:p>
    <w:p w:rsidR="001F705A" w:rsidRDefault="001F705A" w:rsidP="001F705A">
      <w:pPr>
        <w:jc w:val="both"/>
        <w:rPr>
          <w:rFonts w:ascii="David" w:hAnsi="David"/>
          <w:rtl/>
        </w:rPr>
      </w:pPr>
    </w:p>
    <w:p w:rsidR="001F705A" w:rsidRDefault="001F705A" w:rsidP="001F705A">
      <w:pPr>
        <w:jc w:val="both"/>
        <w:rPr>
          <w:rFonts w:ascii="David" w:hAnsi="David"/>
          <w:b/>
          <w:bCs/>
          <w:sz w:val="28"/>
          <w:szCs w:val="28"/>
          <w:rtl/>
        </w:rPr>
      </w:pPr>
      <w:r>
        <w:rPr>
          <w:rFonts w:ascii="David" w:hAnsi="David"/>
          <w:b/>
          <w:bCs/>
          <w:sz w:val="28"/>
          <w:szCs w:val="28"/>
          <w:u w:val="single"/>
          <w:rtl/>
        </w:rPr>
        <w:t>הרקע העובדתי</w:t>
      </w:r>
      <w:r>
        <w:rPr>
          <w:rFonts w:ascii="David" w:hAnsi="David"/>
          <w:b/>
          <w:bCs/>
          <w:sz w:val="28"/>
          <w:szCs w:val="28"/>
          <w:rtl/>
        </w:rPr>
        <w:t>:</w:t>
      </w:r>
    </w:p>
    <w:p w:rsidR="00EA0D55" w:rsidRDefault="00EA0D55" w:rsidP="001F705A">
      <w:pPr>
        <w:ind w:firstLine="720"/>
        <w:jc w:val="both"/>
        <w:rPr>
          <w:rFonts w:ascii="David" w:hAnsi="David"/>
          <w:b/>
          <w:bCs/>
          <w:u w:val="single"/>
          <w:rtl/>
        </w:rPr>
      </w:pPr>
    </w:p>
    <w:p w:rsidR="001F705A" w:rsidRDefault="001F705A" w:rsidP="001F705A">
      <w:pPr>
        <w:ind w:firstLine="720"/>
        <w:jc w:val="both"/>
        <w:rPr>
          <w:rFonts w:ascii="David" w:hAnsi="David"/>
          <w:b/>
          <w:bCs/>
          <w:rtl/>
        </w:rPr>
      </w:pPr>
      <w:r>
        <w:rPr>
          <w:rFonts w:ascii="David" w:hAnsi="David"/>
          <w:b/>
          <w:bCs/>
          <w:u w:val="single"/>
          <w:rtl/>
        </w:rPr>
        <w:t>מבוא</w:t>
      </w:r>
      <w:r>
        <w:rPr>
          <w:rFonts w:ascii="David" w:hAnsi="David"/>
          <w:b/>
          <w:bCs/>
          <w:rtl/>
        </w:rPr>
        <w:t>:</w:t>
      </w:r>
    </w:p>
    <w:p w:rsidR="001F705A" w:rsidRDefault="001F705A" w:rsidP="001F705A">
      <w:pPr>
        <w:ind w:firstLine="720"/>
        <w:jc w:val="both"/>
        <w:rPr>
          <w:rFonts w:ascii="David" w:hAnsi="David"/>
          <w:b/>
          <w:bCs/>
          <w:rtl/>
        </w:rPr>
      </w:pPr>
    </w:p>
    <w:p w:rsidR="001F705A" w:rsidRDefault="001F705A" w:rsidP="001F705A">
      <w:pPr>
        <w:spacing w:line="360" w:lineRule="auto"/>
        <w:ind w:left="720" w:hanging="720"/>
        <w:jc w:val="both"/>
        <w:rPr>
          <w:rFonts w:ascii="David" w:hAnsi="David"/>
          <w:rtl/>
        </w:rPr>
      </w:pPr>
      <w:r>
        <w:rPr>
          <w:rFonts w:ascii="David" w:hAnsi="David"/>
          <w:rtl/>
        </w:rPr>
        <w:t>1.</w:t>
      </w:r>
      <w:r>
        <w:rPr>
          <w:rFonts w:ascii="David" w:hAnsi="David"/>
          <w:rtl/>
        </w:rPr>
        <w:tab/>
        <w:t xml:space="preserve">בפסק הדין מובא הרקע העובדתי בהרחבה, אך עיקרי הדברים יובאו כאן ובהקשרה של ההחלטה. </w:t>
      </w:r>
    </w:p>
    <w:p w:rsidR="001F705A" w:rsidRDefault="001F705A" w:rsidP="001F705A">
      <w:pPr>
        <w:ind w:left="720" w:hanging="720"/>
        <w:rPr>
          <w:rtl/>
        </w:rPr>
      </w:pPr>
    </w:p>
    <w:p w:rsidR="001F705A" w:rsidRDefault="001F705A" w:rsidP="001F705A">
      <w:pPr>
        <w:spacing w:line="360" w:lineRule="auto"/>
        <w:ind w:left="720" w:hanging="720"/>
        <w:jc w:val="both"/>
        <w:rPr>
          <w:rFonts w:ascii="David" w:hAnsi="David"/>
          <w:rtl/>
        </w:rPr>
      </w:pPr>
      <w:r>
        <w:rPr>
          <w:rFonts w:ascii="David" w:hAnsi="David"/>
          <w:rtl/>
        </w:rPr>
        <w:t>2.</w:t>
      </w:r>
      <w:r>
        <w:rPr>
          <w:rFonts w:ascii="David" w:hAnsi="David"/>
          <w:rtl/>
        </w:rPr>
        <w:tab/>
        <w:t>הצדדים הם הורים לילד כבן 4. התובע והנתבע יכונה להלן-</w:t>
      </w:r>
      <w:r>
        <w:rPr>
          <w:rFonts w:ascii="Miriam" w:hAnsi="Miriam" w:cs="Miriam"/>
          <w:b/>
          <w:bCs/>
          <w:rtl/>
        </w:rPr>
        <w:t>האב</w:t>
      </w:r>
      <w:r>
        <w:rPr>
          <w:rFonts w:ascii="David" w:hAnsi="David"/>
          <w:rtl/>
        </w:rPr>
        <w:t>, הנתבעת והתובעת תכונה להלן-</w:t>
      </w:r>
      <w:r>
        <w:rPr>
          <w:rFonts w:ascii="Miriam" w:hAnsi="Miriam" w:cs="Miriam"/>
          <w:b/>
          <w:bCs/>
          <w:rtl/>
        </w:rPr>
        <w:t>האם</w:t>
      </w:r>
      <w:r>
        <w:rPr>
          <w:rFonts w:ascii="David" w:hAnsi="David"/>
          <w:rtl/>
        </w:rPr>
        <w:t xml:space="preserve">  וילדם המשותף יכונה להלן-</w:t>
      </w:r>
      <w:r>
        <w:rPr>
          <w:rFonts w:ascii="Miriam" w:hAnsi="Miriam" w:cs="Miriam"/>
          <w:b/>
          <w:bCs/>
          <w:rtl/>
        </w:rPr>
        <w:t>הבן</w:t>
      </w:r>
      <w:r>
        <w:rPr>
          <w:rFonts w:ascii="David" w:hAnsi="David"/>
          <w:rtl/>
        </w:rPr>
        <w:t xml:space="preserve">. </w:t>
      </w:r>
    </w:p>
    <w:p w:rsidR="001F705A" w:rsidRDefault="001F705A" w:rsidP="001F705A">
      <w:pPr>
        <w:spacing w:line="360" w:lineRule="auto"/>
        <w:ind w:left="720" w:hanging="720"/>
        <w:jc w:val="both"/>
        <w:rPr>
          <w:rFonts w:ascii="David" w:hAnsi="David"/>
          <w:rtl/>
        </w:rPr>
      </w:pPr>
    </w:p>
    <w:p w:rsidR="001F705A" w:rsidRDefault="001F705A" w:rsidP="001F705A">
      <w:pPr>
        <w:spacing w:line="360" w:lineRule="auto"/>
        <w:ind w:left="720"/>
        <w:jc w:val="both"/>
        <w:rPr>
          <w:rFonts w:ascii="David" w:hAnsi="David"/>
          <w:b/>
          <w:bCs/>
          <w:rtl/>
        </w:rPr>
      </w:pPr>
      <w:r>
        <w:rPr>
          <w:rFonts w:ascii="David" w:hAnsi="David"/>
          <w:b/>
          <w:bCs/>
          <w:u w:val="single"/>
          <w:rtl/>
        </w:rPr>
        <w:t>צווי ההגנה</w:t>
      </w:r>
      <w:r>
        <w:rPr>
          <w:rFonts w:ascii="David" w:hAnsi="David"/>
          <w:b/>
          <w:bCs/>
          <w:rtl/>
        </w:rPr>
        <w:t xml:space="preserve">:  </w:t>
      </w:r>
    </w:p>
    <w:p w:rsidR="001F705A" w:rsidRDefault="001F705A" w:rsidP="001F705A">
      <w:pPr>
        <w:spacing w:line="360" w:lineRule="auto"/>
        <w:ind w:left="720"/>
        <w:jc w:val="both"/>
        <w:rPr>
          <w:rFonts w:ascii="David" w:hAnsi="David"/>
          <w:b/>
          <w:bCs/>
          <w:rtl/>
        </w:rPr>
      </w:pPr>
    </w:p>
    <w:p w:rsidR="001F705A" w:rsidRDefault="001F705A" w:rsidP="001F705A">
      <w:pPr>
        <w:spacing w:line="360" w:lineRule="auto"/>
        <w:ind w:left="720" w:hanging="720"/>
        <w:jc w:val="both"/>
        <w:rPr>
          <w:rFonts w:ascii="David" w:hAnsi="David"/>
          <w:rtl/>
        </w:rPr>
      </w:pPr>
      <w:r>
        <w:rPr>
          <w:rFonts w:ascii="David" w:hAnsi="David"/>
          <w:rtl/>
        </w:rPr>
        <w:t>3.</w:t>
      </w:r>
      <w:r>
        <w:rPr>
          <w:rFonts w:ascii="David" w:hAnsi="David"/>
          <w:rtl/>
        </w:rPr>
        <w:tab/>
        <w:t>ראשיתם של ההליכים בבית משפט זה הם בהגשת בקשה לצו הגנה שהוגשה על ידי האב  ב-</w:t>
      </w:r>
      <w:r>
        <w:rPr>
          <w:rFonts w:ascii="David" w:hAnsi="David"/>
          <w:u w:val="single"/>
          <w:rtl/>
        </w:rPr>
        <w:t>ה"ט 42091-12-23</w:t>
      </w:r>
      <w:r>
        <w:rPr>
          <w:rFonts w:ascii="David" w:hAnsi="David"/>
          <w:rtl/>
        </w:rPr>
        <w:t xml:space="preserve">. בבקשתו לצו ההגנה טען האב למסוכנות האם לעצמה ולסביבה ובפרט לבן. תיאר ניסיונות אובדנות של האם לעיני הבן הן באמצעות סכין והן בניסיון </w:t>
      </w:r>
      <w:r>
        <w:rPr>
          <w:rFonts w:ascii="David" w:hAnsi="David"/>
          <w:rtl/>
        </w:rPr>
        <w:lastRenderedPageBreak/>
        <w:t xml:space="preserve">קפיצה ממרפסת הדירה. האב הפנה להודעות ווטסאפ מהטלפון הנייד של האם אותן פירש כהודעות המודיעות על רצון להתאבד. </w:t>
      </w:r>
    </w:p>
    <w:p w:rsidR="001F705A" w:rsidRDefault="001F705A" w:rsidP="001F705A">
      <w:pPr>
        <w:spacing w:line="360" w:lineRule="auto"/>
        <w:ind w:left="720"/>
        <w:jc w:val="both"/>
        <w:rPr>
          <w:rFonts w:ascii="David" w:hAnsi="David"/>
          <w:rtl/>
        </w:rPr>
      </w:pPr>
      <w:r>
        <w:rPr>
          <w:rFonts w:ascii="David" w:hAnsi="David"/>
          <w:rtl/>
        </w:rPr>
        <w:t>האם הכחישה את המיוחס לה וטענה שעד גיל 3 גידלה את הבן לבד ולמעשה לאחר שחדר האב לפרטיותה וקרא את יומנה האישי וסבר שיש לה מאהב חרט על דגלו להפך אותה לבלתי כשירה על מנת לשלול ממנה את הורותה ואימהותה על הבן כתמול שלשום.</w:t>
      </w:r>
    </w:p>
    <w:p w:rsidR="001F705A" w:rsidRDefault="001F705A" w:rsidP="001F705A">
      <w:pPr>
        <w:spacing w:line="360" w:lineRule="auto"/>
        <w:ind w:left="720"/>
        <w:jc w:val="both"/>
        <w:rPr>
          <w:rFonts w:ascii="David" w:hAnsi="David"/>
          <w:rtl/>
        </w:rPr>
      </w:pPr>
      <w:r>
        <w:rPr>
          <w:rFonts w:ascii="David" w:hAnsi="David"/>
          <w:rtl/>
        </w:rPr>
        <w:t>לבן מונתה אפוטרופא לדין. הגם שלא התרשמה בסכנה כלשהי לבן המליצה על בדיקה פסיכיאטרית בשים לב להודעות האם בווטסאפ שלטעמה של האפוטרופא לדין "</w:t>
      </w:r>
      <w:r>
        <w:rPr>
          <w:rFonts w:ascii="David" w:hAnsi="David"/>
          <w:b/>
          <w:bCs/>
          <w:rtl/>
        </w:rPr>
        <w:t>אין להקל ראש בדאגה העולה מהודעותיה</w:t>
      </w:r>
      <w:r>
        <w:rPr>
          <w:rFonts w:ascii="David" w:hAnsi="David"/>
          <w:rtl/>
        </w:rPr>
        <w:t>".</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20"/>
        <w:jc w:val="both"/>
        <w:rPr>
          <w:rFonts w:ascii="David" w:hAnsi="David"/>
          <w:rtl/>
        </w:rPr>
      </w:pPr>
      <w:r>
        <w:rPr>
          <w:rFonts w:ascii="David" w:hAnsi="David"/>
          <w:rtl/>
        </w:rPr>
        <w:t xml:space="preserve">לתיק הוגש תסקיר עו"ס לסדרי דין שלא הצביע על ממצאים מיוחדים השונים מהליכים בהם מחליטים הורים לפגוע האחד בשני תוך התעלמות מטובת הילד. </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20"/>
        <w:jc w:val="both"/>
        <w:rPr>
          <w:rFonts w:ascii="David" w:hAnsi="David"/>
          <w:rtl/>
        </w:rPr>
      </w:pPr>
      <w:r>
        <w:rPr>
          <w:rFonts w:ascii="David" w:hAnsi="David"/>
          <w:rtl/>
        </w:rPr>
        <w:t>האם צרפה לתיק חוות דעת פסיכיאטרית שהתייחסה הן להודעות הווטסאפ והן לבדיקתה של האם ולפיה המסקנה  ש"</w:t>
      </w:r>
      <w:r>
        <w:rPr>
          <w:rFonts w:ascii="David" w:hAnsi="David"/>
          <w:b/>
          <w:bCs/>
          <w:rtl/>
        </w:rPr>
        <w:t>אין אבדנות, אין דכאון אין מחשבות שווא, או מחלת נפש כלשהי</w:t>
      </w:r>
      <w:r>
        <w:rPr>
          <w:rFonts w:ascii="David" w:hAnsi="David"/>
          <w:rtl/>
        </w:rPr>
        <w:t>".</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20"/>
        <w:jc w:val="both"/>
        <w:rPr>
          <w:rFonts w:ascii="David" w:hAnsi="David"/>
          <w:rtl/>
        </w:rPr>
      </w:pPr>
      <w:r>
        <w:rPr>
          <w:rFonts w:ascii="David" w:hAnsi="David"/>
          <w:rtl/>
        </w:rPr>
        <w:t xml:space="preserve">האב לא השלים עם חוות הדעת של הפסיכיאטרית, טען שהפסיכיאטרית לא נחשפה לעברה של האם והפנה למטפלים אשר טיפלו, לכאורה, באם. </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20"/>
        <w:jc w:val="both"/>
        <w:rPr>
          <w:rFonts w:ascii="David" w:hAnsi="David"/>
          <w:rtl/>
        </w:rPr>
      </w:pPr>
      <w:r>
        <w:rPr>
          <w:rFonts w:ascii="David" w:hAnsi="David"/>
          <w:rtl/>
        </w:rPr>
        <w:t>לאחר דיון במעמד הצדדים בהחלטה מיום 4.2.2024 הצו שניתן במעמד צד אחד (ע"י שופט תורן) בוטל והאב חויב בהוצאות האם.</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14" w:hanging="630"/>
        <w:jc w:val="both"/>
        <w:rPr>
          <w:rFonts w:ascii="David" w:hAnsi="David"/>
          <w:rtl/>
        </w:rPr>
      </w:pPr>
      <w:r>
        <w:rPr>
          <w:rFonts w:ascii="David" w:hAnsi="David"/>
          <w:rtl/>
        </w:rPr>
        <w:t>4.</w:t>
      </w:r>
      <w:r>
        <w:rPr>
          <w:rFonts w:ascii="David" w:hAnsi="David"/>
          <w:rtl/>
        </w:rPr>
        <w:tab/>
        <w:t>בין הצדדים התקיים הליך נוסף של צו הגנה ב-</w:t>
      </w:r>
      <w:r>
        <w:rPr>
          <w:rFonts w:ascii="David" w:hAnsi="David"/>
          <w:u w:val="single"/>
          <w:rtl/>
        </w:rPr>
        <w:t xml:space="preserve">ה"ט 31835-02-24 </w:t>
      </w:r>
      <w:r>
        <w:rPr>
          <w:rFonts w:ascii="David" w:hAnsi="David"/>
          <w:rtl/>
        </w:rPr>
        <w:t xml:space="preserve"> אותו הגישה האם כנגד האב בטענה לדחיפתה והרמת יד בכוונה להכותה. הצו במעמד צד אחד ניתן ע"י שופט תורן. התקיים דיון במעמד הצדדים וחקירות ובכללן אביה של האם שתמך בגרסת האב. בהחלטתי בהמשך לדיון הצפתי את הקשיים בעדות אביה של האם, מתחתי ביקורת על סגנון דיבורה של האם אך לגופו של עניין הצו הזמני (במעמד צד אחד) הוארך כנגד האב ב- 60 יום נוספים. </w:t>
      </w:r>
    </w:p>
    <w:p w:rsidR="001F705A" w:rsidRDefault="001F705A" w:rsidP="001F705A">
      <w:pPr>
        <w:spacing w:line="360" w:lineRule="auto"/>
        <w:ind w:left="714" w:hanging="630"/>
        <w:jc w:val="both"/>
        <w:rPr>
          <w:rFonts w:ascii="David" w:hAnsi="David"/>
          <w:rtl/>
        </w:rPr>
      </w:pPr>
      <w:r>
        <w:rPr>
          <w:rFonts w:ascii="David" w:hAnsi="David"/>
          <w:rtl/>
        </w:rPr>
        <w:t xml:space="preserve">   </w:t>
      </w:r>
    </w:p>
    <w:p w:rsidR="001F705A" w:rsidRDefault="001F705A" w:rsidP="001F705A">
      <w:pPr>
        <w:spacing w:line="360" w:lineRule="auto"/>
        <w:ind w:left="84"/>
        <w:jc w:val="both"/>
        <w:rPr>
          <w:rFonts w:ascii="David" w:hAnsi="David"/>
          <w:b/>
          <w:bCs/>
          <w:rtl/>
        </w:rPr>
      </w:pPr>
      <w:r>
        <w:rPr>
          <w:rFonts w:ascii="David" w:hAnsi="David"/>
          <w:rtl/>
        </w:rPr>
        <w:tab/>
      </w:r>
      <w:r>
        <w:rPr>
          <w:rFonts w:ascii="David" w:hAnsi="David"/>
          <w:b/>
          <w:bCs/>
          <w:u w:val="single"/>
          <w:rtl/>
        </w:rPr>
        <w:t>הבקשה למינוי מומחה</w:t>
      </w:r>
      <w:r>
        <w:rPr>
          <w:rFonts w:ascii="David" w:hAnsi="David"/>
          <w:b/>
          <w:bCs/>
          <w:rtl/>
        </w:rPr>
        <w:t>:</w:t>
      </w:r>
    </w:p>
    <w:p w:rsidR="001F705A" w:rsidRDefault="001F705A" w:rsidP="001F705A">
      <w:pPr>
        <w:spacing w:line="360" w:lineRule="auto"/>
        <w:ind w:left="84"/>
        <w:jc w:val="both"/>
        <w:rPr>
          <w:rFonts w:ascii="David" w:hAnsi="David"/>
          <w:b/>
          <w:bCs/>
          <w:rtl/>
        </w:rPr>
      </w:pPr>
    </w:p>
    <w:p w:rsidR="001F705A" w:rsidRDefault="001F705A" w:rsidP="001F705A">
      <w:pPr>
        <w:spacing w:line="360" w:lineRule="auto"/>
        <w:ind w:left="720" w:hanging="636"/>
        <w:jc w:val="both"/>
        <w:rPr>
          <w:rFonts w:ascii="David" w:hAnsi="David"/>
          <w:rtl/>
        </w:rPr>
      </w:pPr>
      <w:r>
        <w:rPr>
          <w:rFonts w:ascii="David" w:hAnsi="David"/>
          <w:rtl/>
        </w:rPr>
        <w:t>5.</w:t>
      </w:r>
      <w:r>
        <w:rPr>
          <w:rFonts w:ascii="David" w:hAnsi="David"/>
          <w:rtl/>
        </w:rPr>
        <w:tab/>
        <w:t>האב שלא רווה נחת מהקביעות בתיק הגיש ביום 12.2.2024 "</w:t>
      </w:r>
      <w:r>
        <w:rPr>
          <w:rFonts w:ascii="David" w:hAnsi="David"/>
          <w:u w:val="single"/>
          <w:rtl/>
        </w:rPr>
        <w:t>בקשה למינוי מומחה למסוגלות הורית</w:t>
      </w:r>
      <w:r>
        <w:rPr>
          <w:rFonts w:ascii="David" w:hAnsi="David"/>
          <w:rtl/>
        </w:rPr>
        <w:t>".  בבקשתו ביקש למנות מומחה לצורך בדיקת המסוגלות ההורית של הצדדים  אשר תיתן "...</w:t>
      </w:r>
      <w:r>
        <w:rPr>
          <w:rFonts w:ascii="David" w:hAnsi="David"/>
          <w:b/>
          <w:bCs/>
          <w:rtl/>
        </w:rPr>
        <w:t>חוות דעת מעמיקה ויסייעו לבית המשפט לעשות משפט ובעיקר לשמור על הקטין ולדאוג להתפתחותו התקינה</w:t>
      </w:r>
      <w:r>
        <w:rPr>
          <w:rFonts w:ascii="David" w:hAnsi="David"/>
          <w:rtl/>
        </w:rPr>
        <w:t>".</w:t>
      </w:r>
    </w:p>
    <w:p w:rsidR="001F705A" w:rsidRDefault="001F705A" w:rsidP="001F705A">
      <w:pPr>
        <w:spacing w:line="360" w:lineRule="auto"/>
        <w:ind w:left="720"/>
        <w:jc w:val="both"/>
        <w:rPr>
          <w:rFonts w:ascii="David" w:hAnsi="David"/>
          <w:rtl/>
        </w:rPr>
      </w:pPr>
      <w:r>
        <w:rPr>
          <w:rFonts w:ascii="David" w:hAnsi="David"/>
          <w:rtl/>
        </w:rPr>
        <w:t xml:space="preserve">האם התנגדה למינוי שכן סברה שאין בכך צורך והדגישה שלאור התנהלות האב בהליכים המשפטיים ביניהם ראוי שהוא יעבור בחינה של מסוגלות הורית. </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14" w:hanging="630"/>
        <w:jc w:val="both"/>
        <w:rPr>
          <w:rFonts w:ascii="David" w:hAnsi="David"/>
          <w:rtl/>
        </w:rPr>
      </w:pPr>
      <w:r>
        <w:rPr>
          <w:rFonts w:ascii="David" w:hAnsi="David"/>
          <w:rtl/>
        </w:rPr>
        <w:lastRenderedPageBreak/>
        <w:t>6.</w:t>
      </w:r>
      <w:r>
        <w:rPr>
          <w:rFonts w:ascii="David" w:hAnsi="David"/>
          <w:rtl/>
        </w:rPr>
        <w:tab/>
        <w:t>ביום 22.2.2024 מיניתי כמומחה מטעם בית המשפט את ד"ר שפיק מסאלחה – פסיכולוג קליני מומחה ומדריך (להלן-</w:t>
      </w:r>
      <w:r>
        <w:rPr>
          <w:rFonts w:ascii="Miriam" w:hAnsi="Miriam" w:cs="Miriam"/>
          <w:b/>
          <w:bCs/>
          <w:rtl/>
        </w:rPr>
        <w:t>המומחה</w:t>
      </w:r>
      <w:r>
        <w:rPr>
          <w:rFonts w:ascii="David" w:hAnsi="David"/>
          <w:rtl/>
        </w:rPr>
        <w:t xml:space="preserve">). </w:t>
      </w:r>
    </w:p>
    <w:p w:rsidR="001F705A" w:rsidRDefault="001F705A" w:rsidP="001F705A">
      <w:pPr>
        <w:spacing w:line="360" w:lineRule="auto"/>
        <w:ind w:left="714" w:hanging="630"/>
        <w:jc w:val="both"/>
        <w:rPr>
          <w:rFonts w:ascii="David" w:hAnsi="David"/>
          <w:rtl/>
        </w:rPr>
      </w:pPr>
    </w:p>
    <w:p w:rsidR="001F705A" w:rsidRDefault="001F705A" w:rsidP="001F705A">
      <w:pPr>
        <w:spacing w:line="360" w:lineRule="auto"/>
        <w:ind w:left="720" w:hanging="720"/>
        <w:jc w:val="both"/>
        <w:rPr>
          <w:rFonts w:ascii="David" w:hAnsi="David"/>
          <w:rtl/>
        </w:rPr>
      </w:pPr>
      <w:r>
        <w:rPr>
          <w:rFonts w:ascii="David" w:hAnsi="David"/>
          <w:rtl/>
        </w:rPr>
        <w:tab/>
        <w:t>המומחה הגיש את חוות דעתו ביום 14.4.2024. חוות הדעת מרשימה במקצועיותה.</w:t>
      </w:r>
      <w:r>
        <w:rPr>
          <w:rFonts w:ascii="Arial" w:hAnsi="Arial"/>
          <w:rtl/>
        </w:rPr>
        <w:t xml:space="preserve"> </w:t>
      </w:r>
      <w:r>
        <w:rPr>
          <w:rFonts w:ascii="David" w:hAnsi="David"/>
          <w:rtl/>
        </w:rPr>
        <w:t>מדובר בחוות דעת מקיפה שכללה ראיונות קליניים עם ההורים, הסבתות (של הבן), הבן עצמו; מבחנים פסיכולוגיים להורים, אינטראקציות של ההורים עם הבן, דיון מקיף בתוצאות והמלצות (להלן-</w:t>
      </w:r>
      <w:r>
        <w:rPr>
          <w:rFonts w:ascii="Miriam" w:hAnsi="Miriam" w:cs="Miriam"/>
          <w:b/>
          <w:bCs/>
          <w:rtl/>
        </w:rPr>
        <w:t>חוות הדעת</w:t>
      </w:r>
      <w:r>
        <w:rPr>
          <w:rFonts w:ascii="David" w:hAnsi="David"/>
          <w:rtl/>
        </w:rPr>
        <w:t xml:space="preserve">).  </w:t>
      </w:r>
    </w:p>
    <w:p w:rsidR="001F705A" w:rsidRDefault="001F705A" w:rsidP="001F705A">
      <w:pPr>
        <w:spacing w:line="360" w:lineRule="auto"/>
        <w:ind w:left="720" w:hanging="720"/>
        <w:jc w:val="both"/>
        <w:rPr>
          <w:rFonts w:ascii="David" w:hAnsi="David"/>
          <w:rtl/>
        </w:rPr>
      </w:pPr>
    </w:p>
    <w:p w:rsidR="001F705A" w:rsidRDefault="001F705A" w:rsidP="001F705A">
      <w:pPr>
        <w:spacing w:line="360" w:lineRule="auto"/>
        <w:ind w:left="714" w:hanging="714"/>
        <w:jc w:val="both"/>
        <w:rPr>
          <w:rFonts w:ascii="David" w:hAnsi="David"/>
          <w:rtl/>
        </w:rPr>
      </w:pPr>
      <w:r>
        <w:rPr>
          <w:rFonts w:ascii="David" w:hAnsi="David"/>
          <w:rtl/>
        </w:rPr>
        <w:t>7.</w:t>
      </w:r>
      <w:r>
        <w:rPr>
          <w:rFonts w:ascii="David" w:hAnsi="David"/>
          <w:rtl/>
        </w:rPr>
        <w:tab/>
        <w:t xml:space="preserve">חוות הדעת הועברה לעיון הצדדים ונקבע לדיון ליום 27.5.2024.  לדיון לא התייצבו האם ובאת כוחה וכפי שהוסבר לאחר מכן נבע הדבר מטעות של ב"כ האם. התיק נקבע לדיון נוסף ליום 15.7.2024. </w:t>
      </w:r>
    </w:p>
    <w:p w:rsidR="001F705A" w:rsidRDefault="001F705A" w:rsidP="001F705A">
      <w:pPr>
        <w:spacing w:line="360" w:lineRule="auto"/>
        <w:ind w:left="714" w:hanging="714"/>
        <w:jc w:val="both"/>
        <w:rPr>
          <w:rFonts w:ascii="David" w:hAnsi="David"/>
          <w:rtl/>
        </w:rPr>
      </w:pPr>
    </w:p>
    <w:p w:rsidR="001F705A" w:rsidRDefault="001F705A" w:rsidP="001F705A">
      <w:pPr>
        <w:spacing w:line="360" w:lineRule="auto"/>
        <w:ind w:left="720" w:hanging="720"/>
        <w:jc w:val="both"/>
        <w:rPr>
          <w:rFonts w:ascii="David" w:hAnsi="David"/>
          <w:rtl/>
        </w:rPr>
      </w:pPr>
      <w:r>
        <w:rPr>
          <w:rFonts w:ascii="David" w:hAnsi="David"/>
          <w:rtl/>
        </w:rPr>
        <w:t>8.</w:t>
      </w:r>
      <w:r>
        <w:rPr>
          <w:rFonts w:ascii="David" w:hAnsi="David"/>
          <w:rtl/>
        </w:rPr>
        <w:tab/>
        <w:t xml:space="preserve">בין לבין הוגשו תשובות המומחה לשאלות ההבהרה שהוגשו לו על ידי האב ובתשובתו לא מצא לשנות מחוות דעתו וההמלצות בה. </w:t>
      </w:r>
    </w:p>
    <w:p w:rsidR="001F705A" w:rsidRDefault="001F705A" w:rsidP="001F705A">
      <w:pPr>
        <w:spacing w:line="360" w:lineRule="auto"/>
        <w:ind w:left="720" w:hanging="720"/>
        <w:jc w:val="both"/>
        <w:rPr>
          <w:rFonts w:ascii="David" w:hAnsi="David"/>
          <w:rtl/>
        </w:rPr>
      </w:pPr>
    </w:p>
    <w:p w:rsidR="001F705A" w:rsidRDefault="001F705A" w:rsidP="001F705A">
      <w:pPr>
        <w:spacing w:line="360" w:lineRule="auto"/>
        <w:ind w:left="720" w:hanging="720"/>
        <w:jc w:val="both"/>
        <w:rPr>
          <w:rFonts w:ascii="David" w:hAnsi="David"/>
          <w:rtl/>
        </w:rPr>
      </w:pPr>
      <w:r>
        <w:rPr>
          <w:rFonts w:ascii="David" w:hAnsi="David"/>
          <w:rtl/>
        </w:rPr>
        <w:t>9.</w:t>
      </w:r>
      <w:r>
        <w:rPr>
          <w:rFonts w:ascii="David" w:hAnsi="David"/>
          <w:rtl/>
        </w:rPr>
        <w:tab/>
        <w:t xml:space="preserve">האב הגיש בקשות למתן החלטה בשאלות הנובעות ממגורי האם עם הבן בהוד השרון שכללו 3 בקשות למתן החלטה בשאלות כמו חיוב האם בהסעת הבן אליו, העלויות הכרוכות בכך, הזמן שהוא מקדיש לכך. בבקשותיו הדגיש האב " </w:t>
      </w:r>
      <w:r>
        <w:rPr>
          <w:rFonts w:ascii="David" w:hAnsi="David"/>
          <w:b/>
          <w:bCs/>
          <w:rtl/>
        </w:rPr>
        <w:t>תשומת לב בית המשפט הנכבד כי על מנת לפגוש את הקטין על האב לצאת מוקדם מהעבודה ולנהוג כשעה וחצי לכל כיוון וזאת במקרה הטוב בו אין פקקים וזאת במשך כ-4 חודשים!!</w:t>
      </w:r>
      <w:r>
        <w:rPr>
          <w:rFonts w:ascii="David" w:hAnsi="David"/>
          <w:rtl/>
        </w:rPr>
        <w:t xml:space="preserve"> [...] </w:t>
      </w:r>
      <w:r>
        <w:rPr>
          <w:rFonts w:ascii="David" w:hAnsi="David"/>
          <w:b/>
          <w:bCs/>
          <w:rtl/>
        </w:rPr>
        <w:t>אין עוד ביכולתו הנפשית, הפיזית והכלכלית של האב להמשיך ולשאת לבדו בנטל הנסיעה בפרט שהאם העתיקה את מגוריה להוד השרון במרחק בלתי סביר של 60 ק"מ  לכל כיוון ועליה לשאת באחריות ולהביא את הקטין למקום מגורי האב ולהבטיח את הקשר ביניהם</w:t>
      </w:r>
      <w:r>
        <w:rPr>
          <w:rFonts w:ascii="David" w:hAnsi="David"/>
          <w:rtl/>
        </w:rPr>
        <w:t>".</w:t>
      </w:r>
    </w:p>
    <w:p w:rsidR="001F705A" w:rsidRDefault="001F705A" w:rsidP="001F705A">
      <w:pPr>
        <w:spacing w:line="360" w:lineRule="auto"/>
        <w:ind w:left="720" w:hanging="720"/>
        <w:jc w:val="both"/>
        <w:rPr>
          <w:rFonts w:ascii="David" w:hAnsi="David"/>
          <w:rtl/>
        </w:rPr>
      </w:pPr>
    </w:p>
    <w:p w:rsidR="001F705A" w:rsidRDefault="001F705A" w:rsidP="001F705A">
      <w:pPr>
        <w:spacing w:line="360" w:lineRule="auto"/>
        <w:ind w:left="720" w:hanging="720"/>
        <w:jc w:val="both"/>
        <w:rPr>
          <w:rFonts w:ascii="David" w:hAnsi="David"/>
          <w:rtl/>
        </w:rPr>
      </w:pPr>
      <w:r>
        <w:rPr>
          <w:rFonts w:ascii="David" w:hAnsi="David"/>
          <w:rtl/>
        </w:rPr>
        <w:t xml:space="preserve">  10.</w:t>
      </w:r>
      <w:r>
        <w:rPr>
          <w:rFonts w:ascii="David" w:hAnsi="David"/>
          <w:rtl/>
        </w:rPr>
        <w:tab/>
        <w:t xml:space="preserve">יובהר שאין באיזו מהבקשות בקשה לזמן את המומחה להיחקר על עדותו לדיון שנקבע או לדיון נדחה לצורך כך. </w:t>
      </w:r>
    </w:p>
    <w:p w:rsidR="001F705A" w:rsidRDefault="001F705A" w:rsidP="001F705A">
      <w:pPr>
        <w:spacing w:line="360" w:lineRule="auto"/>
        <w:jc w:val="both"/>
        <w:rPr>
          <w:rFonts w:ascii="David" w:hAnsi="David"/>
          <w:b/>
          <w:bCs/>
          <w:sz w:val="28"/>
          <w:szCs w:val="28"/>
          <w:rtl/>
        </w:rPr>
      </w:pPr>
      <w:r>
        <w:rPr>
          <w:rFonts w:ascii="David" w:hAnsi="David"/>
          <w:b/>
          <w:bCs/>
          <w:sz w:val="28"/>
          <w:szCs w:val="28"/>
          <w:u w:val="single"/>
          <w:rtl/>
        </w:rPr>
        <w:t>הבקשה</w:t>
      </w:r>
      <w:r>
        <w:rPr>
          <w:rFonts w:ascii="David" w:hAnsi="David"/>
          <w:b/>
          <w:bCs/>
          <w:sz w:val="28"/>
          <w:szCs w:val="28"/>
          <w:rtl/>
        </w:rPr>
        <w:t>:</w:t>
      </w:r>
    </w:p>
    <w:p w:rsidR="001F705A" w:rsidRDefault="001F705A" w:rsidP="001F705A">
      <w:pPr>
        <w:spacing w:line="360" w:lineRule="auto"/>
        <w:jc w:val="both"/>
        <w:rPr>
          <w:rFonts w:ascii="David" w:hAnsi="David"/>
          <w:b/>
          <w:bCs/>
          <w:sz w:val="28"/>
          <w:szCs w:val="28"/>
          <w:rtl/>
        </w:rPr>
      </w:pPr>
    </w:p>
    <w:p w:rsidR="001F705A" w:rsidRDefault="001F705A" w:rsidP="001F705A">
      <w:pPr>
        <w:spacing w:line="360" w:lineRule="auto"/>
        <w:ind w:left="720" w:hanging="720"/>
        <w:jc w:val="both"/>
        <w:rPr>
          <w:rFonts w:ascii="David" w:hAnsi="David"/>
          <w:b/>
          <w:bCs/>
          <w:rtl/>
        </w:rPr>
      </w:pPr>
      <w:r>
        <w:rPr>
          <w:rFonts w:ascii="David" w:hAnsi="David"/>
          <w:rtl/>
        </w:rPr>
        <w:t>11.</w:t>
      </w:r>
      <w:r>
        <w:rPr>
          <w:rFonts w:ascii="David" w:hAnsi="David"/>
          <w:rtl/>
        </w:rPr>
        <w:tab/>
        <w:t>ביום 11.7.2024 הגיש התובע את הבקשה בה עתר במבוא לה לתיקון טעות סופר במספרי התביעות של האם. כן ביקש לראות בכותרת פסק הדין כפסק דין טעות שכן מדובר בהחלטה ו</w:t>
      </w:r>
      <w:r>
        <w:rPr>
          <w:rFonts w:ascii="David" w:hAnsi="David"/>
          <w:b/>
          <w:bCs/>
          <w:rtl/>
        </w:rPr>
        <w:t xml:space="preserve">"להורות על מחיקת שורה 3 (עמ' 10 סעיף 23) ולהורות על פתיחת התיק ולקבוע את התיק לשמיעת ראיות". </w:t>
      </w:r>
      <w:r>
        <w:rPr>
          <w:rFonts w:ascii="David" w:hAnsi="David"/>
          <w:rtl/>
        </w:rPr>
        <w:t>האב נימק את בקשתו בכך ש "...</w:t>
      </w:r>
      <w:r>
        <w:rPr>
          <w:rFonts w:ascii="David" w:hAnsi="David"/>
          <w:b/>
          <w:bCs/>
          <w:rtl/>
        </w:rPr>
        <w:t>אין ספק שמדובר בשגגה שהרי פסק דין לא יכול להינתן בשלב בו אנו נמצאים שהרי:  א. לא התקיים קדם משפט אחד בתביעות דלעיל. ב. לא נשמעו ראיות. ג. לא הוגשו סיכומים. ד. לא הייתה הסכמה של מי מהצדדים לפיה מתייתר איזשהו שלב מהמפורט לעיל".</w:t>
      </w:r>
    </w:p>
    <w:p w:rsidR="001F705A" w:rsidRDefault="001F705A" w:rsidP="001F705A">
      <w:pPr>
        <w:spacing w:line="360" w:lineRule="auto"/>
        <w:ind w:left="720" w:hanging="720"/>
        <w:jc w:val="both"/>
        <w:rPr>
          <w:rFonts w:ascii="David" w:hAnsi="David"/>
          <w:b/>
          <w:bCs/>
          <w:rtl/>
        </w:rPr>
      </w:pPr>
    </w:p>
    <w:p w:rsidR="001F705A" w:rsidRDefault="001F705A" w:rsidP="001F705A">
      <w:pPr>
        <w:spacing w:line="360" w:lineRule="auto"/>
        <w:ind w:left="720" w:hanging="720"/>
        <w:jc w:val="both"/>
        <w:rPr>
          <w:rFonts w:ascii="David" w:hAnsi="David"/>
          <w:rtl/>
        </w:rPr>
      </w:pPr>
      <w:r>
        <w:rPr>
          <w:rFonts w:ascii="David" w:hAnsi="David"/>
          <w:b/>
          <w:bCs/>
          <w:rtl/>
        </w:rPr>
        <w:tab/>
      </w:r>
      <w:r>
        <w:rPr>
          <w:rFonts w:ascii="David" w:hAnsi="David"/>
          <w:rtl/>
        </w:rPr>
        <w:t>הבקשה הועברה לתגובת האם שהשיבה ש</w:t>
      </w:r>
      <w:r>
        <w:rPr>
          <w:rFonts w:ascii="David" w:hAnsi="David"/>
          <w:b/>
          <w:bCs/>
          <w:rtl/>
        </w:rPr>
        <w:t xml:space="preserve">"ראשית יצוין כי לא ברורה בקשתו של המבקש, שעה שקיבל זמני שהות נרחבים, בדיוק כפי שביקש </w:t>
      </w:r>
      <w:r>
        <w:rPr>
          <w:rFonts w:ascii="David" w:hAnsi="David"/>
          <w:rtl/>
        </w:rPr>
        <w:t xml:space="preserve">[...] </w:t>
      </w:r>
      <w:r>
        <w:rPr>
          <w:rFonts w:ascii="David" w:hAnsi="David"/>
          <w:b/>
          <w:bCs/>
          <w:rtl/>
        </w:rPr>
        <w:t xml:space="preserve">פסק הדין ניתן לאחר בדיקת מסוגלות הורית  שנעשתה בהתאם לבקשת המבקש, וכן לאחר מענה על שאלות הבהרה </w:t>
      </w:r>
      <w:r>
        <w:rPr>
          <w:rFonts w:ascii="David" w:hAnsi="David"/>
          <w:b/>
          <w:bCs/>
          <w:rtl/>
        </w:rPr>
        <w:lastRenderedPageBreak/>
        <w:t xml:space="preserve">מטעם המומחה </w:t>
      </w:r>
      <w:r>
        <w:rPr>
          <w:rFonts w:ascii="David" w:hAnsi="David"/>
          <w:rtl/>
        </w:rPr>
        <w:t xml:space="preserve">[...] </w:t>
      </w:r>
      <w:r>
        <w:rPr>
          <w:rFonts w:ascii="David" w:hAnsi="David"/>
          <w:b/>
          <w:bCs/>
          <w:rtl/>
        </w:rPr>
        <w:t xml:space="preserve">אמנם בתיק זה לא התקיימו דיונים מלבד הדיון הקבוע ליום 27/5/24, אך יחד עם זאת, עניין האחריות ההורית וזמני השהות נידון פעמים רבות בתיקים הקשורים, כאשר בעניינם של הצדדים התקיימו לא פחות מ-5 דיונים! </w:t>
      </w:r>
      <w:r>
        <w:rPr>
          <w:rFonts w:ascii="David" w:hAnsi="David"/>
          <w:rtl/>
        </w:rPr>
        <w:t xml:space="preserve">[...] </w:t>
      </w:r>
      <w:r>
        <w:rPr>
          <w:rFonts w:ascii="David" w:hAnsi="David"/>
          <w:b/>
          <w:bCs/>
          <w:rtl/>
        </w:rPr>
        <w:t>חוות דעת רבות הנוגעות לזמני השהות הוגשו בתיק (לרבות חוות דעת פסיכיאטרית, מומחה למסוגלות הורית ואפוטרופוס לדין) ועל כן לא ברור לשם מה יש לקיים דיון הוכחות</w:t>
      </w:r>
      <w:r>
        <w:rPr>
          <w:rFonts w:ascii="David" w:hAnsi="David"/>
          <w:rtl/>
        </w:rPr>
        <w:t>".</w:t>
      </w:r>
      <w:r>
        <w:rPr>
          <w:rFonts w:ascii="David" w:hAnsi="David"/>
          <w:b/>
          <w:bCs/>
          <w:rtl/>
        </w:rPr>
        <w:t xml:space="preserve"> </w:t>
      </w:r>
      <w:r>
        <w:rPr>
          <w:rFonts w:ascii="David" w:hAnsi="David"/>
          <w:rtl/>
        </w:rPr>
        <w:t xml:space="preserve">האם ביקשה לדחות את הבקשה.    </w:t>
      </w:r>
    </w:p>
    <w:p w:rsidR="001F705A" w:rsidRDefault="001F705A" w:rsidP="001F705A">
      <w:pPr>
        <w:spacing w:line="360" w:lineRule="auto"/>
        <w:ind w:left="720" w:hanging="720"/>
        <w:jc w:val="both"/>
        <w:rPr>
          <w:rFonts w:ascii="David" w:hAnsi="David"/>
          <w:rtl/>
        </w:rPr>
      </w:pPr>
    </w:p>
    <w:p w:rsidR="001F705A" w:rsidRDefault="001F705A" w:rsidP="001F705A">
      <w:pPr>
        <w:spacing w:line="360" w:lineRule="auto"/>
        <w:ind w:left="720" w:hanging="720"/>
        <w:jc w:val="both"/>
        <w:rPr>
          <w:rFonts w:ascii="David" w:hAnsi="David"/>
          <w:b/>
          <w:bCs/>
          <w:sz w:val="28"/>
          <w:szCs w:val="28"/>
          <w:rtl/>
        </w:rPr>
      </w:pPr>
      <w:r>
        <w:rPr>
          <w:rFonts w:ascii="David" w:hAnsi="David"/>
          <w:b/>
          <w:bCs/>
          <w:sz w:val="28"/>
          <w:szCs w:val="28"/>
          <w:u w:val="single"/>
          <w:rtl/>
        </w:rPr>
        <w:t>דיון והחלטה</w:t>
      </w:r>
      <w:r>
        <w:rPr>
          <w:rFonts w:ascii="David" w:hAnsi="David"/>
          <w:b/>
          <w:bCs/>
          <w:sz w:val="28"/>
          <w:szCs w:val="28"/>
          <w:rtl/>
        </w:rPr>
        <w:t>:</w:t>
      </w:r>
    </w:p>
    <w:p w:rsidR="001F705A" w:rsidRDefault="001F705A" w:rsidP="001F705A">
      <w:pPr>
        <w:spacing w:line="360" w:lineRule="auto"/>
        <w:ind w:left="720" w:hanging="720"/>
        <w:jc w:val="both"/>
        <w:rPr>
          <w:rFonts w:ascii="David" w:hAnsi="David"/>
          <w:b/>
          <w:bCs/>
          <w:sz w:val="28"/>
          <w:szCs w:val="28"/>
          <w:rtl/>
        </w:rPr>
      </w:pPr>
    </w:p>
    <w:p w:rsidR="001F705A" w:rsidRDefault="001F705A" w:rsidP="001F705A">
      <w:pPr>
        <w:spacing w:line="360" w:lineRule="auto"/>
        <w:ind w:left="720" w:hanging="720"/>
        <w:jc w:val="both"/>
        <w:rPr>
          <w:rFonts w:ascii="David" w:hAnsi="David"/>
          <w:rtl/>
        </w:rPr>
      </w:pPr>
      <w:r>
        <w:rPr>
          <w:rFonts w:ascii="David" w:hAnsi="David"/>
          <w:rtl/>
        </w:rPr>
        <w:t>12.</w:t>
      </w:r>
      <w:r>
        <w:rPr>
          <w:rFonts w:ascii="David" w:hAnsi="David"/>
          <w:rtl/>
        </w:rPr>
        <w:tab/>
        <w:t>ההחלטה תתמקד הן בצד הפרוצדורלי-מהותי והן בצד המהותי.</w:t>
      </w:r>
    </w:p>
    <w:p w:rsidR="001F705A" w:rsidRDefault="001F705A" w:rsidP="001F705A">
      <w:pPr>
        <w:spacing w:line="360" w:lineRule="auto"/>
        <w:ind w:left="720" w:hanging="720"/>
        <w:jc w:val="both"/>
        <w:rPr>
          <w:rFonts w:ascii="David" w:hAnsi="David"/>
          <w:rtl/>
        </w:rPr>
      </w:pPr>
    </w:p>
    <w:p w:rsidR="001F705A" w:rsidRDefault="001F705A" w:rsidP="001F705A">
      <w:pPr>
        <w:spacing w:line="360" w:lineRule="auto"/>
        <w:ind w:left="720" w:hanging="720"/>
        <w:jc w:val="both"/>
        <w:rPr>
          <w:rFonts w:ascii="David" w:hAnsi="David"/>
          <w:rtl/>
        </w:rPr>
      </w:pPr>
      <w:r>
        <w:rPr>
          <w:rFonts w:ascii="David" w:hAnsi="David"/>
          <w:rtl/>
        </w:rPr>
        <w:t>13.</w:t>
      </w:r>
      <w:r>
        <w:rPr>
          <w:rFonts w:ascii="David" w:hAnsi="David"/>
          <w:rtl/>
        </w:rPr>
        <w:tab/>
        <w:t xml:space="preserve">כאמור, האב לא ביקש לחקור את המומחה על חוות הדעת ולאחר חלוף הזמן להגשת  בקשה שכזו החזקה היא שהאב מסכים עם חוות הדעת. </w:t>
      </w:r>
    </w:p>
    <w:p w:rsidR="001F705A" w:rsidRDefault="001F705A" w:rsidP="001F705A">
      <w:pPr>
        <w:spacing w:line="360" w:lineRule="auto"/>
        <w:ind w:left="720" w:hanging="720"/>
        <w:jc w:val="both"/>
        <w:rPr>
          <w:rFonts w:ascii="David" w:hAnsi="David"/>
          <w:rtl/>
        </w:rPr>
      </w:pPr>
    </w:p>
    <w:p w:rsidR="001F705A" w:rsidRDefault="001F705A" w:rsidP="001F705A">
      <w:pPr>
        <w:tabs>
          <w:tab w:val="left" w:pos="-4310"/>
        </w:tabs>
        <w:spacing w:before="45" w:after="50" w:line="360" w:lineRule="auto"/>
        <w:ind w:left="793" w:hanging="720"/>
        <w:jc w:val="both"/>
        <w:rPr>
          <w:rFonts w:ascii="David" w:hAnsi="David"/>
          <w:b/>
          <w:bCs/>
          <w:rtl/>
        </w:rPr>
      </w:pPr>
      <w:r>
        <w:rPr>
          <w:rFonts w:ascii="David" w:hAnsi="David"/>
          <w:rtl/>
        </w:rPr>
        <w:tab/>
        <w:t>תקנה 25 (ו) לתקנות בית המשפט לענייני משפח (סדרי דין) תשפ"א-2020 קובעת "</w:t>
      </w:r>
      <w:r>
        <w:rPr>
          <w:rFonts w:cs="FrankRuehl"/>
          <w:szCs w:val="26"/>
          <w:rtl/>
        </w:rPr>
        <w:t>(</w:t>
      </w:r>
      <w:r>
        <w:rPr>
          <w:rFonts w:ascii="David" w:hAnsi="David"/>
          <w:b/>
          <w:bCs/>
          <w:rtl/>
        </w:rPr>
        <w:t>ו) מומחה שמינה בית המשפט לא יוזמן להיחקר על חוות דעתו אלא ברשות בית המשפט, לאחר שהוגשה בקשה מנומקת לחקור אותו בתוך ארבעה עשר ימים מיום קבלת התשובות לשאלות ההבהרה, למעט אם הורה בית המשפט כי בעל הדין יהיה רשאי לחקור את המומחה גם אם לא הגיש שאלות הבהרה."</w:t>
      </w:r>
    </w:p>
    <w:p w:rsidR="001F705A" w:rsidRDefault="001F705A" w:rsidP="001F705A">
      <w:pPr>
        <w:tabs>
          <w:tab w:val="left" w:pos="-4310"/>
        </w:tabs>
        <w:spacing w:before="45" w:after="50" w:line="360" w:lineRule="auto"/>
        <w:ind w:left="793" w:hanging="720"/>
        <w:jc w:val="both"/>
        <w:rPr>
          <w:rFonts w:ascii="David" w:hAnsi="David"/>
          <w:rtl/>
        </w:rPr>
      </w:pPr>
      <w:r>
        <w:rPr>
          <w:rFonts w:ascii="David" w:hAnsi="David"/>
          <w:b/>
          <w:bCs/>
          <w:rtl/>
        </w:rPr>
        <w:tab/>
      </w:r>
      <w:r>
        <w:rPr>
          <w:rFonts w:ascii="David" w:hAnsi="David"/>
          <w:rtl/>
        </w:rPr>
        <w:t>כאמור התשובות לשאלות ההבהרה של האב הוגשו ביום 2.6.2024, כך שהמועד חלף כבר ביום 16.6.24. ער אני לכך שעל פי החלטתי קבעתי מועד לדיון ליום ,15.7.2024 אולם אין בקביעה זו כדי לשלול חובת האב להודיע אם בדעתו לחקור את המומחה. כך או כך, כאמור, האב שהסתפק בתשובות המומחה לשאלות ההבהרה שלו נתפס כמי שמקבל ומסכים עם חוות הדעת.</w:t>
      </w:r>
    </w:p>
    <w:p w:rsidR="001F705A" w:rsidRDefault="001F705A" w:rsidP="001F705A">
      <w:pPr>
        <w:tabs>
          <w:tab w:val="left" w:pos="-4310"/>
        </w:tabs>
        <w:spacing w:before="45" w:after="50" w:line="360" w:lineRule="auto"/>
        <w:ind w:left="793" w:hanging="720"/>
        <w:jc w:val="both"/>
        <w:rPr>
          <w:rFonts w:ascii="David" w:hAnsi="David"/>
          <w:rtl/>
        </w:rPr>
      </w:pPr>
    </w:p>
    <w:p w:rsidR="001F705A" w:rsidRDefault="001F705A" w:rsidP="001F705A">
      <w:pPr>
        <w:tabs>
          <w:tab w:val="left" w:pos="-4310"/>
        </w:tabs>
        <w:spacing w:before="45" w:after="50" w:line="360" w:lineRule="auto"/>
        <w:ind w:left="793" w:hanging="720"/>
        <w:jc w:val="both"/>
        <w:rPr>
          <w:rFonts w:ascii="David" w:hAnsi="David"/>
          <w:rtl/>
        </w:rPr>
      </w:pPr>
      <w:r>
        <w:rPr>
          <w:rFonts w:ascii="David" w:hAnsi="David"/>
          <w:rtl/>
        </w:rPr>
        <w:t>14.</w:t>
      </w:r>
      <w:r>
        <w:rPr>
          <w:rFonts w:ascii="David" w:hAnsi="David"/>
          <w:rtl/>
        </w:rPr>
        <w:tab/>
        <w:t xml:space="preserve">אמירה זו מעבירה את דיוננו למעמדה של חוות דעת ככלל ובבית משפט זה בפרט. יוקדם ויאמר שמינוי המומחה נעשה לבקשת האב עצמו. </w:t>
      </w:r>
    </w:p>
    <w:p w:rsidR="001F705A" w:rsidRDefault="001F705A" w:rsidP="001F705A">
      <w:pPr>
        <w:tabs>
          <w:tab w:val="left" w:pos="-4310"/>
        </w:tabs>
        <w:spacing w:before="45" w:after="50" w:line="360" w:lineRule="auto"/>
        <w:ind w:left="793" w:hanging="720"/>
        <w:jc w:val="both"/>
        <w:rPr>
          <w:rFonts w:ascii="David" w:hAnsi="David"/>
          <w:rtl/>
        </w:rPr>
      </w:pPr>
    </w:p>
    <w:p w:rsidR="001F705A" w:rsidRDefault="001F705A" w:rsidP="001F705A">
      <w:pPr>
        <w:tabs>
          <w:tab w:val="left" w:pos="-4310"/>
        </w:tabs>
        <w:spacing w:before="45" w:after="50" w:line="360" w:lineRule="auto"/>
        <w:ind w:left="793" w:hanging="720"/>
        <w:jc w:val="both"/>
        <w:rPr>
          <w:rFonts w:ascii="David" w:hAnsi="David"/>
          <w:b/>
          <w:bCs/>
          <w:rtl/>
        </w:rPr>
      </w:pPr>
      <w:r>
        <w:rPr>
          <w:rFonts w:ascii="David" w:hAnsi="David"/>
          <w:rtl/>
        </w:rPr>
        <w:tab/>
        <w:t>ב-</w:t>
      </w:r>
      <w:r>
        <w:rPr>
          <w:rFonts w:ascii="David" w:hAnsi="David"/>
          <w:u w:val="single"/>
          <w:rtl/>
        </w:rPr>
        <w:t>ת.א.(ת"א)163882/07</w:t>
      </w:r>
      <w:r>
        <w:rPr>
          <w:rFonts w:ascii="David" w:hAnsi="David"/>
          <w:b/>
          <w:bCs/>
          <w:rtl/>
        </w:rPr>
        <w:t xml:space="preserve"> ראן ויואל דנאל ואח'</w:t>
      </w:r>
      <w:r>
        <w:rPr>
          <w:rFonts w:ascii="David" w:hAnsi="David"/>
          <w:rtl/>
        </w:rPr>
        <w:t xml:space="preserve"> נ' </w:t>
      </w:r>
      <w:r>
        <w:rPr>
          <w:rFonts w:ascii="David" w:hAnsi="David"/>
          <w:b/>
          <w:bCs/>
          <w:rtl/>
        </w:rPr>
        <w:t>שיכון ופיתוח לישראל בע"מ</w:t>
      </w:r>
      <w:r>
        <w:rPr>
          <w:rFonts w:ascii="David" w:hAnsi="David"/>
          <w:rtl/>
        </w:rPr>
        <w:t xml:space="preserve">  (18.11.2007) נפסק ש" </w:t>
      </w:r>
      <w:r>
        <w:rPr>
          <w:rFonts w:ascii="David" w:hAnsi="David"/>
          <w:b/>
          <w:bCs/>
          <w:rtl/>
        </w:rPr>
        <w:t>הכלל הוא שלחוות דעת של מומחה שמונה על ידי בית המשפט יש מעמד מיוחד, ואין לסטות ממנה אלא אם היא לוקה בטעות בולטת</w:t>
      </w:r>
      <w:r>
        <w:rPr>
          <w:rFonts w:ascii="David" w:hAnsi="David"/>
          <w:rtl/>
        </w:rPr>
        <w:t xml:space="preserve">". בית המשפט שם מצטט מ: </w:t>
      </w:r>
      <w:r>
        <w:rPr>
          <w:rFonts w:ascii="David" w:hAnsi="David"/>
          <w:u w:val="single"/>
          <w:rtl/>
        </w:rPr>
        <w:t>ע"א 3056/99</w:t>
      </w:r>
      <w:r>
        <w:rPr>
          <w:rFonts w:ascii="David" w:hAnsi="David"/>
          <w:rtl/>
        </w:rPr>
        <w:t xml:space="preserve"> "</w:t>
      </w:r>
      <w:r>
        <w:rPr>
          <w:rFonts w:ascii="David" w:hAnsi="David"/>
          <w:b/>
          <w:bCs/>
          <w:rtl/>
        </w:rPr>
        <w:t>משממנה בית המשפט מומחה על מנת שחוות דעתו תספק לבית המשפט נתונים מקצועיים לצורך הכרעה בדיון, סביר להניח שבית המשפט יאמץ מימצאיו של המומחה אלא אם כן נראית סיבה בולטת לעין שלא לעשות זאת. אכן עד מומחה כמוהו ככל עד שקילת אמינותו מסורה לבית המשפט ואין בעובדת היותו מומחה כדי להגביל שיקול דעתו של בית המשפט.</w:t>
      </w:r>
    </w:p>
    <w:p w:rsidR="001F705A" w:rsidRDefault="001F705A" w:rsidP="001F705A">
      <w:pPr>
        <w:tabs>
          <w:tab w:val="left" w:pos="-4310"/>
        </w:tabs>
        <w:spacing w:before="45" w:after="50" w:line="360" w:lineRule="auto"/>
        <w:ind w:left="793" w:hanging="720"/>
        <w:jc w:val="both"/>
        <w:rPr>
          <w:rFonts w:ascii="David" w:hAnsi="David"/>
          <w:b/>
          <w:bCs/>
          <w:rtl/>
        </w:rPr>
      </w:pPr>
    </w:p>
    <w:p w:rsidR="001F705A" w:rsidRDefault="001F705A" w:rsidP="001F705A">
      <w:pPr>
        <w:spacing w:line="360" w:lineRule="auto"/>
        <w:ind w:left="720"/>
        <w:jc w:val="both"/>
        <w:rPr>
          <w:rFonts w:ascii="David" w:hAnsi="David"/>
          <w:rtl/>
        </w:rPr>
      </w:pPr>
      <w:r>
        <w:rPr>
          <w:rFonts w:ascii="David" w:hAnsi="David"/>
          <w:b/>
          <w:bCs/>
          <w:rtl/>
        </w:rPr>
        <w:lastRenderedPageBreak/>
        <w:t>אך כאמור לא ייטה בית המשפט לסטות מחוות הדעת של המומחה בהיעדר נימוקים כבדי משקל שיניעוהו לעשות כן</w:t>
      </w:r>
      <w:r>
        <w:rPr>
          <w:rFonts w:ascii="David" w:hAnsi="David"/>
          <w:rtl/>
        </w:rPr>
        <w:t>".(</w:t>
      </w:r>
      <w:hyperlink r:id="rId5" w:history="1">
        <w:r>
          <w:rPr>
            <w:rStyle w:val="Hyperlink"/>
            <w:rFonts w:ascii="David" w:hAnsi="David"/>
            <w:rtl/>
          </w:rPr>
          <w:t>ע"א 3056/99 שטרן נ' המרכז הרפואי על שם חיים שיבא, פ"ד נ"ו</w:t>
        </w:r>
      </w:hyperlink>
      <w:r>
        <w:rPr>
          <w:rFonts w:ascii="David" w:hAnsi="David"/>
          <w:rtl/>
        </w:rPr>
        <w:t xml:space="preserve"> (2) 936)) כן ראו דברים דומים  ב-</w:t>
      </w:r>
      <w:r>
        <w:rPr>
          <w:rFonts w:ascii="David" w:hAnsi="David"/>
          <w:u w:val="single"/>
          <w:rtl/>
        </w:rPr>
        <w:t xml:space="preserve">ע"א 293/88 </w:t>
      </w:r>
      <w:r>
        <w:rPr>
          <w:rFonts w:ascii="David" w:hAnsi="David"/>
          <w:b/>
          <w:bCs/>
          <w:rtl/>
        </w:rPr>
        <w:t xml:space="preserve"> חברת יצחק נימן להשכרה בע"מ </w:t>
      </w:r>
      <w:r>
        <w:rPr>
          <w:rFonts w:ascii="David" w:hAnsi="David"/>
          <w:rtl/>
        </w:rPr>
        <w:t>נ'</w:t>
      </w:r>
      <w:r>
        <w:rPr>
          <w:rFonts w:ascii="David" w:hAnsi="David"/>
          <w:b/>
          <w:bCs/>
          <w:rtl/>
        </w:rPr>
        <w:t xml:space="preserve"> רבי ואח'</w:t>
      </w:r>
      <w:r>
        <w:rPr>
          <w:rFonts w:ascii="David" w:hAnsi="David"/>
          <w:rtl/>
        </w:rPr>
        <w:t xml:space="preserve"> (31/12/88)). ראו להלן.</w:t>
      </w:r>
    </w:p>
    <w:p w:rsidR="001F705A" w:rsidRDefault="001F705A" w:rsidP="001F705A">
      <w:pPr>
        <w:spacing w:line="360" w:lineRule="auto"/>
        <w:ind w:left="720"/>
        <w:jc w:val="both"/>
        <w:rPr>
          <w:rFonts w:ascii="David" w:hAnsi="David"/>
          <w:rtl/>
        </w:rPr>
      </w:pPr>
    </w:p>
    <w:p w:rsidR="001F705A" w:rsidRDefault="001F705A" w:rsidP="001F705A">
      <w:pPr>
        <w:spacing w:line="360" w:lineRule="auto"/>
        <w:ind w:left="720"/>
        <w:jc w:val="both"/>
        <w:rPr>
          <w:rFonts w:ascii="David" w:hAnsi="David"/>
          <w:rtl/>
        </w:rPr>
      </w:pPr>
      <w:r>
        <w:rPr>
          <w:rFonts w:ascii="David" w:hAnsi="David"/>
          <w:rtl/>
        </w:rPr>
        <w:t>ב-</w:t>
      </w:r>
      <w:r>
        <w:rPr>
          <w:rFonts w:ascii="David" w:hAnsi="David"/>
          <w:b/>
          <w:bCs/>
          <w:rtl/>
        </w:rPr>
        <w:t xml:space="preserve"> </w:t>
      </w:r>
      <w:r>
        <w:rPr>
          <w:rFonts w:ascii="David" w:hAnsi="David"/>
          <w:u w:val="single"/>
          <w:rtl/>
        </w:rPr>
        <w:t>ת.א. (מחוזי ת"א) 1727/02</w:t>
      </w:r>
      <w:r>
        <w:rPr>
          <w:rFonts w:ascii="David" w:hAnsi="David"/>
          <w:rtl/>
        </w:rPr>
        <w:t xml:space="preserve"> </w:t>
      </w:r>
      <w:r>
        <w:rPr>
          <w:rFonts w:ascii="David" w:hAnsi="David"/>
          <w:b/>
          <w:bCs/>
          <w:rtl/>
        </w:rPr>
        <w:t xml:space="preserve">מאסי </w:t>
      </w:r>
      <w:r>
        <w:rPr>
          <w:rFonts w:ascii="David" w:hAnsi="David"/>
          <w:rtl/>
        </w:rPr>
        <w:t xml:space="preserve">נ' </w:t>
      </w:r>
      <w:r>
        <w:rPr>
          <w:rFonts w:ascii="David" w:hAnsi="David"/>
          <w:b/>
          <w:bCs/>
          <w:rtl/>
        </w:rPr>
        <w:t xml:space="preserve">בנק דיסקונט לישראל בע"מ </w:t>
      </w:r>
      <w:r>
        <w:rPr>
          <w:rFonts w:ascii="David" w:hAnsi="David"/>
          <w:rtl/>
        </w:rPr>
        <w:t xml:space="preserve"> (2.10.2005) נפסק : "</w:t>
      </w:r>
      <w:r>
        <w:rPr>
          <w:rFonts w:ascii="David" w:hAnsi="David"/>
          <w:b/>
          <w:bCs/>
          <w:rtl/>
        </w:rPr>
        <w:t xml:space="preserve">הלכה היא שעצם ויתור על חקירה נגדית משמעה שאין חולקים על האמור בתצהירו של העד, והדברים יפים גם לגבי אי חקירת מומחה על חוות דעתו [ראו: י' </w:t>
      </w:r>
      <w:hyperlink r:id="rId6" w:history="1">
        <w:r>
          <w:rPr>
            <w:rStyle w:val="Hyperlink"/>
            <w:rFonts w:ascii="David" w:hAnsi="David"/>
            <w:b/>
            <w:bCs/>
            <w:rtl/>
          </w:rPr>
          <w:t>קדמי</w:t>
        </w:r>
      </w:hyperlink>
      <w:r>
        <w:rPr>
          <w:rFonts w:ascii="David" w:hAnsi="David"/>
          <w:b/>
          <w:bCs/>
          <w:rtl/>
        </w:rPr>
        <w:t xml:space="preserve"> על הראיות – הדין בראי הפסיקה (חלק שלישי, מהדורה שלישית מורחבת ומעודכנת, תשס"ד) 1702-1709 והאסמכתאות המובאות שם]</w:t>
      </w:r>
      <w:r>
        <w:rPr>
          <w:rFonts w:ascii="David" w:hAnsi="David"/>
          <w:rtl/>
        </w:rPr>
        <w:t xml:space="preserve">".(ס' 50 לפסה"ד). (ראו גם:  </w:t>
      </w:r>
      <w:r>
        <w:rPr>
          <w:rFonts w:ascii="David" w:hAnsi="David"/>
          <w:u w:val="single"/>
          <w:rtl/>
        </w:rPr>
        <w:t xml:space="preserve">ת"א (ת"א) 43198-04-13 </w:t>
      </w:r>
      <w:r>
        <w:rPr>
          <w:rFonts w:ascii="David" w:hAnsi="David"/>
          <w:b/>
          <w:bCs/>
          <w:rtl/>
        </w:rPr>
        <w:t xml:space="preserve"> רועי נחום הולנד</w:t>
      </w:r>
      <w:r>
        <w:rPr>
          <w:rFonts w:ascii="David" w:hAnsi="David"/>
          <w:rtl/>
        </w:rPr>
        <w:t xml:space="preserve"> נ'</w:t>
      </w:r>
      <w:r>
        <w:rPr>
          <w:rFonts w:ascii="David" w:hAnsi="David"/>
          <w:b/>
          <w:bCs/>
          <w:rtl/>
        </w:rPr>
        <w:t xml:space="preserve"> י.צ. תורג'מן פרויקטים בע"מ </w:t>
      </w:r>
      <w:r>
        <w:rPr>
          <w:rFonts w:ascii="David" w:hAnsi="David"/>
          <w:rtl/>
        </w:rPr>
        <w:t>( 23.6.2016) בו נקבע שמקום בו לא נחקר מומחה על חוות דעתו לא יסטה בית המשפט מחוות דעתו של המומחה).</w:t>
      </w:r>
    </w:p>
    <w:p w:rsidR="001F705A" w:rsidRDefault="001F705A" w:rsidP="001F705A">
      <w:pPr>
        <w:spacing w:line="360" w:lineRule="auto"/>
        <w:ind w:left="720"/>
        <w:jc w:val="both"/>
        <w:rPr>
          <w:rFonts w:ascii="David" w:hAnsi="David"/>
          <w:rtl/>
        </w:rPr>
      </w:pPr>
      <w:r>
        <w:rPr>
          <w:rFonts w:ascii="David" w:hAnsi="David"/>
          <w:rtl/>
        </w:rPr>
        <w:t>גישה דומה התקבעה בפסיקה עקבית של בתי משפט למשפחה (</w:t>
      </w:r>
      <w:r>
        <w:rPr>
          <w:rFonts w:ascii="David" w:hAnsi="David"/>
          <w:u w:val="single"/>
          <w:rtl/>
        </w:rPr>
        <w:t xml:space="preserve">תע (ת"א) 33028-12-12 </w:t>
      </w:r>
      <w:r>
        <w:rPr>
          <w:rFonts w:ascii="David" w:hAnsi="David"/>
          <w:b/>
          <w:bCs/>
          <w:rtl/>
        </w:rPr>
        <w:t xml:space="preserve">עזבון המנוחה ו.ק. ז"ל </w:t>
      </w:r>
      <w:r>
        <w:rPr>
          <w:rFonts w:ascii="David" w:hAnsi="David"/>
          <w:rtl/>
        </w:rPr>
        <w:t>נ'</w:t>
      </w:r>
      <w:r>
        <w:rPr>
          <w:rFonts w:ascii="David" w:hAnsi="David"/>
          <w:b/>
          <w:bCs/>
          <w:rtl/>
        </w:rPr>
        <w:t xml:space="preserve"> ביועמ"ש</w:t>
      </w:r>
      <w:r>
        <w:rPr>
          <w:rFonts w:ascii="David" w:hAnsi="David"/>
          <w:rtl/>
        </w:rPr>
        <w:t xml:space="preserve"> (29.1.2014 ס' 27 ומפנה ל- </w:t>
      </w:r>
      <w:r>
        <w:rPr>
          <w:rFonts w:ascii="David" w:hAnsi="David"/>
          <w:u w:val="single"/>
          <w:rtl/>
        </w:rPr>
        <w:t xml:space="preserve">ע"א 1188/92 </w:t>
      </w:r>
      <w:r>
        <w:rPr>
          <w:rFonts w:ascii="David" w:hAnsi="David"/>
          <w:b/>
          <w:bCs/>
          <w:rtl/>
        </w:rPr>
        <w:t xml:space="preserve">הוועדה המקומית נ' ברעלי </w:t>
      </w:r>
      <w:r>
        <w:rPr>
          <w:rFonts w:ascii="David" w:hAnsi="David"/>
          <w:rtl/>
        </w:rPr>
        <w:t>פד מט (1)448)).</w:t>
      </w:r>
    </w:p>
    <w:p w:rsidR="001F705A" w:rsidRDefault="001F705A" w:rsidP="001F705A">
      <w:pPr>
        <w:pStyle w:val="normal-p"/>
        <w:bidi/>
        <w:spacing w:beforeAutospacing="0" w:afterAutospacing="0"/>
        <w:ind w:left="793" w:right="585" w:hanging="1080"/>
        <w:jc w:val="both"/>
        <w:rPr>
          <w:rFonts w:ascii="David" w:hAnsi="David" w:cs="David"/>
          <w:rtl/>
        </w:rPr>
      </w:pPr>
      <w:r>
        <w:rPr>
          <w:rFonts w:ascii="David" w:hAnsi="David" w:cs="David"/>
          <w:rtl/>
        </w:rPr>
        <w:tab/>
        <w:t xml:space="preserve">ב- </w:t>
      </w:r>
      <w:proofErr w:type="spellStart"/>
      <w:r>
        <w:rPr>
          <w:rFonts w:ascii="David" w:hAnsi="David" w:cs="David"/>
          <w:u w:val="single"/>
          <w:rtl/>
        </w:rPr>
        <w:t>תמ"ש</w:t>
      </w:r>
      <w:proofErr w:type="spellEnd"/>
      <w:r>
        <w:rPr>
          <w:rFonts w:ascii="David" w:hAnsi="David" w:cs="David"/>
          <w:u w:val="single"/>
          <w:rtl/>
        </w:rPr>
        <w:t xml:space="preserve"> (קריות) 1326/01</w:t>
      </w:r>
      <w:r>
        <w:rPr>
          <w:rFonts w:ascii="David" w:hAnsi="David" w:cs="David"/>
          <w:rtl/>
        </w:rPr>
        <w:t xml:space="preserve"> </w:t>
      </w:r>
      <w:r>
        <w:rPr>
          <w:rFonts w:ascii="David" w:hAnsi="David" w:cs="David"/>
          <w:b/>
          <w:bCs/>
          <w:rtl/>
        </w:rPr>
        <w:t xml:space="preserve">פלונית נ' פלוני </w:t>
      </w:r>
      <w:r>
        <w:rPr>
          <w:rFonts w:ascii="David" w:hAnsi="David" w:cs="David"/>
          <w:rtl/>
        </w:rPr>
        <w:t>(16/6/2009)  נקבע:</w:t>
      </w:r>
    </w:p>
    <w:p w:rsidR="001F705A" w:rsidRDefault="001F705A" w:rsidP="001F705A">
      <w:pPr>
        <w:pStyle w:val="normal-p"/>
        <w:bidi/>
        <w:spacing w:line="360" w:lineRule="auto"/>
        <w:ind w:left="793"/>
        <w:jc w:val="both"/>
        <w:rPr>
          <w:rFonts w:ascii="David" w:hAnsi="David" w:cs="David"/>
          <w:b/>
          <w:bCs/>
          <w:sz w:val="28"/>
          <w:szCs w:val="28"/>
          <w:rtl/>
        </w:rPr>
      </w:pPr>
      <w:r>
        <w:rPr>
          <w:rStyle w:val="normal-h-h"/>
          <w:rFonts w:ascii="David" w:hAnsi="David" w:cs="David"/>
          <w:b/>
          <w:bCs/>
          <w:rtl/>
        </w:rPr>
        <w:t xml:space="preserve">"19. א.  משמונה מומחה מוסכם ע"י בית המשפט (בוודאי בפס"ד או למימושו), יש לחוות דעתו משקל נכבד ביותר. ב. ככלל, בהיעדר טעם מיוחד, "נכבד", כהגדרת הפסיקה, יאומצו הממצאים; ראה לעניין זה </w:t>
      </w:r>
      <w:hyperlink r:id="rId7" w:history="1">
        <w:r>
          <w:rPr>
            <w:rStyle w:val="Hyperlink"/>
            <w:rFonts w:ascii="David" w:hAnsi="David" w:cs="David"/>
            <w:b/>
            <w:bCs/>
            <w:rtl/>
          </w:rPr>
          <w:t>ע"א 293/88</w:t>
        </w:r>
      </w:hyperlink>
      <w:r>
        <w:rPr>
          <w:rStyle w:val="normal-h-h"/>
          <w:rFonts w:ascii="David" w:hAnsi="David" w:cs="David"/>
          <w:b/>
          <w:bCs/>
          <w:rtl/>
        </w:rPr>
        <w:t xml:space="preserve"> חב' יצחק </w:t>
      </w:r>
      <w:proofErr w:type="spellStart"/>
      <w:r>
        <w:rPr>
          <w:rStyle w:val="normal-h-h"/>
          <w:rFonts w:ascii="David" w:hAnsi="David" w:cs="David"/>
          <w:b/>
          <w:bCs/>
          <w:rtl/>
        </w:rPr>
        <w:t>ניימן</w:t>
      </w:r>
      <w:proofErr w:type="spellEnd"/>
      <w:r>
        <w:rPr>
          <w:rStyle w:val="normal-h-h"/>
          <w:rFonts w:ascii="David" w:hAnsi="David" w:cs="David"/>
          <w:b/>
          <w:bCs/>
          <w:rtl/>
        </w:rPr>
        <w:t xml:space="preserve"> נ' רבי (פורסם בנבו).</w:t>
      </w:r>
      <w:r>
        <w:rPr>
          <w:rFonts w:ascii="David" w:hAnsi="David" w:cs="David"/>
          <w:b/>
          <w:bCs/>
          <w:rtl/>
        </w:rPr>
        <w:t xml:space="preserve"> ובהמשך "</w:t>
      </w:r>
      <w:r>
        <w:rPr>
          <w:rStyle w:val="normal-h-h"/>
          <w:rFonts w:ascii="David" w:hAnsi="David" w:cs="David"/>
          <w:b/>
          <w:bCs/>
          <w:rtl/>
        </w:rPr>
        <w:t xml:space="preserve">20.    כלל זה הוחל גם בהליכים לפני בתי המשפט לענייני משפחה, ואומץ גם בפסיקת כב' בית המשפט העליון; ראה </w:t>
      </w:r>
      <w:hyperlink r:id="rId8" w:history="1">
        <w:r>
          <w:rPr>
            <w:rStyle w:val="Hyperlink"/>
            <w:rFonts w:ascii="David" w:hAnsi="David" w:cs="David"/>
            <w:b/>
            <w:bCs/>
            <w:rtl/>
          </w:rPr>
          <w:t>בע"מ 27/06</w:t>
        </w:r>
      </w:hyperlink>
      <w:r>
        <w:rPr>
          <w:rStyle w:val="normal-h-h"/>
          <w:rFonts w:ascii="David" w:hAnsi="David" w:cs="David"/>
          <w:b/>
          <w:bCs/>
          <w:rtl/>
        </w:rPr>
        <w:t xml:space="preserve"> פלוני נ' פלוני; </w:t>
      </w:r>
      <w:hyperlink r:id="rId9" w:history="1">
        <w:r>
          <w:rPr>
            <w:rStyle w:val="Hyperlink"/>
            <w:rFonts w:ascii="David" w:hAnsi="David" w:cs="David"/>
            <w:b/>
            <w:bCs/>
            <w:rtl/>
          </w:rPr>
          <w:t>בע"מ 9358/04</w:t>
        </w:r>
      </w:hyperlink>
      <w:r>
        <w:rPr>
          <w:rStyle w:val="normal-h-h"/>
          <w:rFonts w:ascii="David" w:hAnsi="David" w:cs="David"/>
          <w:b/>
          <w:bCs/>
          <w:rtl/>
        </w:rPr>
        <w:t xml:space="preserve"> ; </w:t>
      </w:r>
      <w:hyperlink r:id="rId10" w:history="1">
        <w:r>
          <w:rPr>
            <w:rStyle w:val="Hyperlink"/>
            <w:rFonts w:ascii="David" w:hAnsi="David" w:cs="David"/>
            <w:b/>
            <w:bCs/>
            <w:rtl/>
          </w:rPr>
          <w:t>רע"א 4575/00</w:t>
        </w:r>
      </w:hyperlink>
      <w:r>
        <w:rPr>
          <w:rStyle w:val="normal-h-h"/>
          <w:rFonts w:ascii="David" w:hAnsi="David" w:cs="David"/>
          <w:b/>
          <w:bCs/>
          <w:rtl/>
        </w:rPr>
        <w:t xml:space="preserve"> ; כל אלו פורסמו בנבו. ראה גם </w:t>
      </w:r>
      <w:hyperlink r:id="rId11" w:history="1">
        <w:r>
          <w:rPr>
            <w:rStyle w:val="Hyperlink"/>
            <w:rFonts w:ascii="David" w:hAnsi="David" w:cs="David"/>
            <w:b/>
            <w:bCs/>
            <w:rtl/>
          </w:rPr>
          <w:t>בע"מ 10060/07</w:t>
        </w:r>
      </w:hyperlink>
      <w:r>
        <w:rPr>
          <w:rStyle w:val="normal-h-h"/>
          <w:rFonts w:ascii="David" w:hAnsi="David" w:cs="David"/>
          <w:b/>
          <w:bCs/>
          <w:rtl/>
        </w:rPr>
        <w:t xml:space="preserve"> (כב' השופט </w:t>
      </w:r>
      <w:proofErr w:type="spellStart"/>
      <w:r>
        <w:rPr>
          <w:rStyle w:val="normal-h-h"/>
          <w:rFonts w:ascii="David" w:hAnsi="David" w:cs="David"/>
          <w:b/>
          <w:bCs/>
          <w:rtl/>
        </w:rPr>
        <w:t>דנציגר</w:t>
      </w:r>
      <w:proofErr w:type="spellEnd"/>
      <w:r>
        <w:rPr>
          <w:rStyle w:val="normal-h-h"/>
          <w:rFonts w:ascii="David" w:hAnsi="David" w:cs="David"/>
          <w:b/>
          <w:bCs/>
          <w:rtl/>
        </w:rPr>
        <w:t xml:space="preserve">) אשר פורסמה לאחרונה בנבו, והחלקים במסגרת פסה"ד המתייחסים למשמעות מומחה מטעם ביהמ"ש. </w:t>
      </w:r>
      <w:r>
        <w:rPr>
          <w:rStyle w:val="normal-h"/>
          <w:rFonts w:cs="David"/>
          <w:b/>
          <w:bCs/>
          <w:rtl/>
        </w:rPr>
        <w:t>21.    מקל וחומר אמורים הדברים במומחה אשר לא נחקר ואשר הצדדים ויתרו על חקירתו</w:t>
      </w:r>
      <w:r>
        <w:rPr>
          <w:rStyle w:val="normal-h"/>
          <w:rFonts w:cs="David"/>
          <w:rtl/>
        </w:rPr>
        <w:t>[...]</w:t>
      </w:r>
      <w:r>
        <w:rPr>
          <w:rFonts w:ascii="David" w:hAnsi="David" w:cs="David"/>
          <w:b/>
          <w:bCs/>
          <w:sz w:val="28"/>
          <w:szCs w:val="28"/>
          <w:rtl/>
        </w:rPr>
        <w:t>".</w:t>
      </w:r>
    </w:p>
    <w:p w:rsidR="001F705A" w:rsidRDefault="001F705A" w:rsidP="001F705A">
      <w:pPr>
        <w:pStyle w:val="normal-p"/>
        <w:bidi/>
        <w:spacing w:line="360" w:lineRule="auto"/>
        <w:ind w:left="793"/>
        <w:jc w:val="both"/>
        <w:rPr>
          <w:rFonts w:ascii="David" w:hAnsi="David" w:cs="David"/>
          <w:rtl/>
        </w:rPr>
      </w:pPr>
      <w:r>
        <w:rPr>
          <w:rStyle w:val="normal-h-h"/>
          <w:rFonts w:ascii="David" w:hAnsi="David" w:cs="David"/>
          <w:rtl/>
        </w:rPr>
        <w:t>גם בהיבט התכליתי נקבע ש "...</w:t>
      </w:r>
      <w:r>
        <w:rPr>
          <w:rStyle w:val="normal-h-h"/>
          <w:rFonts w:ascii="David" w:hAnsi="David" w:cs="David"/>
          <w:b/>
          <w:bCs/>
          <w:rtl/>
        </w:rPr>
        <w:t xml:space="preserve">ישנם תחומים  שבהם לבית המשפט כלים נוספים להעריך מצבים שונים, בהיותו בקיא ובעל ניסיון בתחומים אלה. מאחר ששופטי בית המשפט לענייני משפחה נחשפים, כדבר שבשגרה, לתסקירים של עובדים סוציאליים ולחוות דעת מקצועיות  של מומחים ומכונים שונים, יש </w:t>
      </w:r>
      <w:proofErr w:type="spellStart"/>
      <w:r>
        <w:rPr>
          <w:rStyle w:val="normal-h-h"/>
          <w:rFonts w:ascii="David" w:hAnsi="David" w:cs="David"/>
          <w:b/>
          <w:bCs/>
          <w:rtl/>
        </w:rPr>
        <w:t>ליתן</w:t>
      </w:r>
      <w:proofErr w:type="spellEnd"/>
      <w:r>
        <w:rPr>
          <w:rStyle w:val="normal-h-h"/>
          <w:rFonts w:ascii="David" w:hAnsi="David" w:cs="David"/>
          <w:b/>
          <w:bCs/>
          <w:rtl/>
        </w:rPr>
        <w:t xml:space="preserve"> משקל להצטברות הידע והניסיון של השופט, בקבלו או בדחותו חוות דעת מסוימת.</w:t>
      </w:r>
      <w:r>
        <w:rPr>
          <w:rFonts w:ascii="David" w:hAnsi="David" w:cs="David"/>
          <w:rtl/>
        </w:rPr>
        <w:t xml:space="preserve">" (שאול שוחט ודוד שאוה, </w:t>
      </w:r>
      <w:r>
        <w:rPr>
          <w:rFonts w:ascii="David" w:hAnsi="David" w:cs="David"/>
          <w:u w:val="single"/>
          <w:rtl/>
        </w:rPr>
        <w:t>סדר הדין בבית המשפט לענייני משפחה</w:t>
      </w:r>
      <w:r>
        <w:rPr>
          <w:rFonts w:ascii="David" w:hAnsi="David" w:cs="David"/>
          <w:b/>
          <w:bCs/>
          <w:sz w:val="28"/>
          <w:szCs w:val="28"/>
          <w:u w:val="single"/>
          <w:rtl/>
        </w:rPr>
        <w:t xml:space="preserve"> </w:t>
      </w:r>
      <w:r>
        <w:rPr>
          <w:rFonts w:ascii="David" w:hAnsi="David" w:cs="David"/>
          <w:rtl/>
        </w:rPr>
        <w:t xml:space="preserve">(2009) 291) דברים אלו שנכתבו עובר לתקנות בית המשפט לענייני משפחה (סדרי דין ) תשפ"א -  2020 כוחן יפה ונכון גם לאחר התקנתן. </w:t>
      </w:r>
    </w:p>
    <w:p w:rsidR="001F705A" w:rsidRDefault="001F705A" w:rsidP="001F705A">
      <w:pPr>
        <w:pStyle w:val="normal-p"/>
        <w:bidi/>
        <w:spacing w:line="360" w:lineRule="auto"/>
        <w:ind w:left="714" w:hanging="630"/>
        <w:jc w:val="both"/>
        <w:rPr>
          <w:rFonts w:ascii="David" w:hAnsi="David" w:cs="David"/>
          <w:rtl/>
        </w:rPr>
      </w:pPr>
      <w:r>
        <w:rPr>
          <w:rStyle w:val="normal-h-h"/>
          <w:rFonts w:ascii="David" w:hAnsi="David" w:cs="David"/>
          <w:rtl/>
        </w:rPr>
        <w:t>15.</w:t>
      </w:r>
      <w:r>
        <w:rPr>
          <w:rStyle w:val="normal-h-h"/>
          <w:rFonts w:ascii="David" w:hAnsi="David" w:cs="David"/>
          <w:rtl/>
        </w:rPr>
        <w:tab/>
        <w:t>שימת לב למעמדה של חוות הדעת והפסיקה הקובעת משמעות ויתור על חקירת מומחה מובילה לדחיית הבקשה. בכך לא די, גם בבקשת האב מציין הוא שהוא מבקש לקבוע התיק לשמיעת ראיות ולא טוען לזימונו של המומחה או רצונו לעשות כן.</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lastRenderedPageBreak/>
        <w:t>16.</w:t>
      </w:r>
      <w:r>
        <w:rPr>
          <w:rFonts w:ascii="David" w:hAnsi="David" w:cs="David"/>
          <w:rtl/>
        </w:rPr>
        <w:tab/>
        <w:t>בשנת 2018 תוקנו תקנות סדר הדין האזרחי. מקובל לכנות את תקנות סדר הדין האזרחי תשע"ט-2018 'התקנות החדשות' (להלן-</w:t>
      </w:r>
      <w:proofErr w:type="spellStart"/>
      <w:r>
        <w:rPr>
          <w:rFonts w:ascii="Miriam" w:hAnsi="Miriam" w:cs="Miriam"/>
          <w:b/>
          <w:bCs/>
          <w:rtl/>
        </w:rPr>
        <w:t>תקסד"א</w:t>
      </w:r>
      <w:proofErr w:type="spellEnd"/>
      <w:r>
        <w:rPr>
          <w:rFonts w:ascii="David" w:hAnsi="David" w:cs="David"/>
          <w:rtl/>
        </w:rPr>
        <w:t xml:space="preserve">). הגם שאינן חדשות עוד חדשנותן בסעיפים 1- 5א המהווים כהגדרתם עקרונות יסוד: תקנה  5 </w:t>
      </w:r>
      <w:proofErr w:type="spellStart"/>
      <w:r>
        <w:rPr>
          <w:rFonts w:ascii="David" w:hAnsi="David" w:cs="David"/>
          <w:rtl/>
        </w:rPr>
        <w:t>לתקסד"א</w:t>
      </w:r>
      <w:proofErr w:type="spellEnd"/>
      <w:r>
        <w:rPr>
          <w:rFonts w:ascii="David" w:hAnsi="David" w:cs="David"/>
          <w:rtl/>
        </w:rPr>
        <w:t xml:space="preserve"> קובעת:</w:t>
      </w:r>
      <w:r>
        <w:rPr>
          <w:rFonts w:cs="FrankRuehl"/>
          <w:szCs w:val="26"/>
          <w:rtl/>
        </w:rPr>
        <w:t xml:space="preserve"> "</w:t>
      </w:r>
      <w:r>
        <w:rPr>
          <w:rFonts w:ascii="David" w:hAnsi="David" w:cs="David"/>
          <w:b/>
          <w:bCs/>
          <w:rtl/>
        </w:rPr>
        <w:t>בית המשפט יאזן, לפי הצורך, בין האינטרס של בעלי הדין ובין האינטרס הציבורי; לעניין זה, "אינטרס ציבורי" – 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Pr>
          <w:rFonts w:cs="FrankRuehl"/>
          <w:szCs w:val="26"/>
          <w:rtl/>
        </w:rPr>
        <w:t>.</w:t>
      </w:r>
      <w:r>
        <w:rPr>
          <w:rFonts w:ascii="David" w:hAnsi="David" w:cs="David"/>
          <w:rtl/>
        </w:rPr>
        <w:t>"</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t>17.</w:t>
      </w:r>
      <w:r>
        <w:rPr>
          <w:rFonts w:ascii="David" w:hAnsi="David" w:cs="David"/>
          <w:rtl/>
        </w:rPr>
        <w:tab/>
        <w:t xml:space="preserve">מתן פסק הדין  ממלא בדיוק אחר מצוות תקנה זו. לא ברור מה מבקש האב להוכיח בראיות כאשר השאלות המרכזיות בתובענה וביניהן הכשרות ההורית, אחריות הורית והסדרי השהות כל אלו נקבעו בפסק הדין בהתבסס על ההליכים בתיק והקשורים לו ובעיקר על חוות הדעת של המומחה שאומצה על פי האמור לעיל. </w:t>
      </w:r>
    </w:p>
    <w:p w:rsidR="001F705A" w:rsidRDefault="001F705A" w:rsidP="001F705A">
      <w:pPr>
        <w:pStyle w:val="normal-p"/>
        <w:bidi/>
        <w:spacing w:line="360" w:lineRule="auto"/>
        <w:ind w:left="714"/>
        <w:jc w:val="both"/>
        <w:rPr>
          <w:rFonts w:ascii="David" w:hAnsi="David" w:cs="David"/>
          <w:rtl/>
        </w:rPr>
      </w:pPr>
      <w:r>
        <w:rPr>
          <w:rFonts w:ascii="David" w:hAnsi="David" w:cs="David"/>
          <w:rtl/>
        </w:rPr>
        <w:t xml:space="preserve">לא בכדי נקבע שבענייני משפחה יהא שופט אחד למשפחה אחת שהרי הדיונים הנדונים לפני אותו שופט כרוכים זה לזה מזינים זה את זה ומקרינים האחד על השני. </w:t>
      </w:r>
    </w:p>
    <w:p w:rsidR="001F705A" w:rsidRDefault="001F705A" w:rsidP="001F705A">
      <w:pPr>
        <w:pStyle w:val="normal-p"/>
        <w:bidi/>
        <w:spacing w:line="360" w:lineRule="auto"/>
        <w:ind w:left="714"/>
        <w:jc w:val="both"/>
        <w:rPr>
          <w:rFonts w:ascii="David" w:hAnsi="David" w:cs="David"/>
          <w:rtl/>
        </w:rPr>
      </w:pPr>
      <w:r>
        <w:rPr>
          <w:rFonts w:ascii="David" w:hAnsi="David" w:cs="David"/>
          <w:rtl/>
        </w:rPr>
        <w:t xml:space="preserve">היעתרות לבקשה תשרת דווקא היפוך רצונו של האב להגיע לשקט שכן על פי בקשותיו תשו כוחותיו. הנה דווקא מתן פסק הדין הנותן מענה ופתרון ראוי משרת את טובתו של האב . משכך הבקשה כשלעצמה מעלה תמיהה מה טעם מבקש האב שתש כוחו, כאמור,  להמשיך ולנהל הליך שלא בטובתו אך בוודאי לא בטובתו של הבן. במקום לפנות לדרך חדשה  שתביא שקט למערכת, שקט הדרוש לבן שלא יטלטל עוד בחוסר וודאות  אך דרוש  בוודאי גם להורים עצמם שבתחושותיהם והתנהגותם בהכרח משפיעים על טובת הבן. </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tab/>
        <w:t>הנה כי כן גם מטעם זה דין הבקשה להידחות.</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t xml:space="preserve">18. </w:t>
      </w:r>
      <w:r>
        <w:rPr>
          <w:rFonts w:ascii="David" w:hAnsi="David" w:cs="David"/>
          <w:rtl/>
        </w:rPr>
        <w:tab/>
        <w:t>ב-</w:t>
      </w:r>
      <w:proofErr w:type="spellStart"/>
      <w:r>
        <w:rPr>
          <w:rFonts w:ascii="David" w:hAnsi="David" w:cs="David"/>
          <w:rtl/>
        </w:rPr>
        <w:t>ע</w:t>
      </w:r>
      <w:r>
        <w:rPr>
          <w:rFonts w:ascii="David" w:hAnsi="David" w:cs="David"/>
          <w:u w:val="single"/>
          <w:rtl/>
        </w:rPr>
        <w:t>ת"מ</w:t>
      </w:r>
      <w:proofErr w:type="spellEnd"/>
      <w:r>
        <w:rPr>
          <w:rFonts w:ascii="David" w:hAnsi="David" w:cs="David"/>
          <w:u w:val="single"/>
          <w:rtl/>
        </w:rPr>
        <w:t xml:space="preserve"> 55231-05-15 </w:t>
      </w:r>
      <w:r>
        <w:rPr>
          <w:rFonts w:ascii="David" w:hAnsi="David" w:cs="David"/>
          <w:rtl/>
        </w:rPr>
        <w:t xml:space="preserve"> </w:t>
      </w:r>
      <w:r>
        <w:rPr>
          <w:rFonts w:ascii="David" w:hAnsi="David" w:cs="David"/>
          <w:b/>
          <w:bCs/>
          <w:rtl/>
        </w:rPr>
        <w:t>בן שושן ואח' נ' משרד הבריאות / המשרד הראשי  ואח'</w:t>
      </w:r>
      <w:r>
        <w:rPr>
          <w:rFonts w:ascii="David" w:hAnsi="David" w:cs="David"/>
          <w:rtl/>
        </w:rPr>
        <w:t xml:space="preserve"> (19.7.2019) נקבע : "</w:t>
      </w:r>
      <w:r>
        <w:rPr>
          <w:rFonts w:ascii="David" w:hAnsi="David" w:cs="David"/>
          <w:b/>
          <w:bCs/>
          <w:rtl/>
        </w:rPr>
        <w:t>אכן, בהינתן העומס הרב על בתי המשפט, סמכותו הטבועה של היושב בדין היא לנהל את הזמן העומד לרשותו (</w:t>
      </w:r>
      <w:hyperlink r:id="rId12" w:history="1">
        <w:r>
          <w:rPr>
            <w:rStyle w:val="Hyperlink"/>
            <w:rFonts w:ascii="David" w:hAnsi="David" w:cs="David"/>
            <w:b/>
            <w:bCs/>
            <w:rtl/>
          </w:rPr>
          <w:t>רע"א 7659/14</w:t>
        </w:r>
      </w:hyperlink>
      <w:r>
        <w:rPr>
          <w:rFonts w:ascii="David" w:hAnsi="David" w:cs="David"/>
          <w:b/>
          <w:bCs/>
          <w:rtl/>
        </w:rPr>
        <w:t xml:space="preserve"> משטרת ישראל נ' עובד </w:t>
      </w:r>
      <w:proofErr w:type="spellStart"/>
      <w:r>
        <w:rPr>
          <w:rFonts w:ascii="David" w:hAnsi="David" w:cs="David"/>
          <w:b/>
          <w:bCs/>
          <w:rtl/>
        </w:rPr>
        <w:t>רופל</w:t>
      </w:r>
      <w:proofErr w:type="spellEnd"/>
      <w:r>
        <w:rPr>
          <w:rFonts w:ascii="David" w:hAnsi="David" w:cs="David"/>
          <w:b/>
          <w:bCs/>
          <w:rtl/>
        </w:rPr>
        <w:t xml:space="preserve"> [פורסם בנבו]  22.3.2015; כן ראו כלל 12(ד) ל</w:t>
      </w:r>
      <w:hyperlink r:id="rId13" w:history="1">
        <w:r>
          <w:rPr>
            <w:rStyle w:val="Hyperlink"/>
            <w:rFonts w:ascii="David" w:hAnsi="David" w:cs="David"/>
            <w:b/>
            <w:bCs/>
            <w:rtl/>
          </w:rPr>
          <w:t>כללי אתיקה לשופטים</w:t>
        </w:r>
      </w:hyperlink>
      <w:r>
        <w:rPr>
          <w:rFonts w:ascii="David" w:hAnsi="David" w:cs="David"/>
          <w:b/>
          <w:bCs/>
          <w:rtl/>
        </w:rPr>
        <w:t>, תשס"ז-2007). ניהול זמן – באופן הלוקח בחשבון את האינטרסים והצרכים של כל בעלי הדין ושל הציבור. "הזמן השיפוטי הוא משאב יקר" (</w:t>
      </w:r>
      <w:proofErr w:type="spellStart"/>
      <w:r w:rsidR="001C2E90">
        <w:fldChar w:fldCharType="begin"/>
      </w:r>
      <w:r w:rsidR="001C2E90">
        <w:instrText xml:space="preserve"> HYPERLINK "http://www.nevo.co.il/case/5592524" </w:instrText>
      </w:r>
      <w:r w:rsidR="001C2E90">
        <w:fldChar w:fldCharType="separate"/>
      </w:r>
      <w:r>
        <w:rPr>
          <w:rStyle w:val="Hyperlink"/>
          <w:rFonts w:ascii="David" w:hAnsi="David" w:cs="David"/>
          <w:b/>
          <w:bCs/>
          <w:rtl/>
        </w:rPr>
        <w:t>בש"מ</w:t>
      </w:r>
      <w:proofErr w:type="spellEnd"/>
      <w:r>
        <w:rPr>
          <w:rStyle w:val="Hyperlink"/>
          <w:rFonts w:ascii="David" w:hAnsi="David" w:cs="David"/>
          <w:b/>
          <w:bCs/>
          <w:rtl/>
        </w:rPr>
        <w:t xml:space="preserve"> 6141/12</w:t>
      </w:r>
      <w:r w:rsidR="001C2E90">
        <w:rPr>
          <w:rStyle w:val="Hyperlink"/>
          <w:rFonts w:ascii="David" w:hAnsi="David" w:cs="David"/>
          <w:b/>
          <w:bCs/>
        </w:rPr>
        <w:fldChar w:fldCharType="end"/>
      </w:r>
      <w:r>
        <w:rPr>
          <w:rFonts w:ascii="David" w:hAnsi="David" w:cs="David"/>
          <w:b/>
          <w:bCs/>
          <w:rtl/>
        </w:rPr>
        <w:t xml:space="preserve"> </w:t>
      </w:r>
      <w:proofErr w:type="spellStart"/>
      <w:r>
        <w:rPr>
          <w:rFonts w:ascii="David" w:hAnsi="David" w:cs="David"/>
          <w:b/>
          <w:bCs/>
          <w:rtl/>
        </w:rPr>
        <w:t>פסיפיק</w:t>
      </w:r>
      <w:proofErr w:type="spellEnd"/>
      <w:r>
        <w:rPr>
          <w:rFonts w:ascii="David" w:hAnsi="David" w:cs="David"/>
          <w:b/>
          <w:bCs/>
          <w:rtl/>
        </w:rPr>
        <w:t xml:space="preserve"> מערכות מחשב נ' עיריית הרצליה [פורסם בנבו] (כב' הנשיא א' </w:t>
      </w:r>
      <w:proofErr w:type="spellStart"/>
      <w:r>
        <w:rPr>
          <w:rFonts w:ascii="David" w:hAnsi="David" w:cs="David"/>
          <w:b/>
          <w:bCs/>
          <w:rtl/>
        </w:rPr>
        <w:t>גרוניס</w:t>
      </w:r>
      <w:proofErr w:type="spellEnd"/>
      <w:r>
        <w:rPr>
          <w:rFonts w:ascii="David" w:hAnsi="David" w:cs="David"/>
          <w:b/>
          <w:bCs/>
          <w:rtl/>
        </w:rPr>
        <w:t>, פס' 5)); "משאב ציבורי" (כב' השופטת ד' ברק-ארז ב-</w:t>
      </w:r>
      <w:hyperlink r:id="rId14" w:history="1">
        <w:r>
          <w:rPr>
            <w:rStyle w:val="Hyperlink"/>
            <w:rFonts w:ascii="David" w:hAnsi="David" w:cs="David"/>
            <w:b/>
            <w:bCs/>
            <w:rtl/>
          </w:rPr>
          <w:t>בע"מ 329/15</w:t>
        </w:r>
      </w:hyperlink>
      <w:r>
        <w:rPr>
          <w:rFonts w:ascii="David" w:hAnsi="David" w:cs="David"/>
          <w:b/>
          <w:bCs/>
          <w:rtl/>
        </w:rPr>
        <w:t xml:space="preserve"> פלוני נ' פלוני [פורסם בנבו] (25.2.2015, פס' 31). "הזמן השיפוטי משאב מוגבל הוא והוא שייך לא רק לכל אחד ואחד מבעלי-הדין אלא גם לציבור בכללותו" (כב' השופטת מ' נאור (כתוארה אז) ב-</w:t>
      </w:r>
      <w:hyperlink r:id="rId15" w:history="1">
        <w:r>
          <w:rPr>
            <w:rStyle w:val="Hyperlink"/>
            <w:rFonts w:ascii="David" w:hAnsi="David" w:cs="David"/>
            <w:b/>
            <w:bCs/>
            <w:rtl/>
          </w:rPr>
          <w:t>ע"א 3725/04</w:t>
        </w:r>
      </w:hyperlink>
      <w:r>
        <w:rPr>
          <w:rFonts w:ascii="David" w:hAnsi="David" w:cs="David"/>
          <w:b/>
          <w:bCs/>
          <w:rtl/>
        </w:rPr>
        <w:t xml:space="preserve"> דיבה נ' </w:t>
      </w:r>
      <w:proofErr w:type="spellStart"/>
      <w:r>
        <w:rPr>
          <w:rFonts w:ascii="David" w:hAnsi="David" w:cs="David"/>
          <w:b/>
          <w:bCs/>
          <w:rtl/>
        </w:rPr>
        <w:t>עדווין</w:t>
      </w:r>
      <w:proofErr w:type="spellEnd"/>
      <w:r>
        <w:rPr>
          <w:rFonts w:ascii="David" w:hAnsi="David" w:cs="David"/>
          <w:b/>
          <w:bCs/>
          <w:rtl/>
        </w:rPr>
        <w:t xml:space="preserve"> [פורסם בנבו] (31.8.2006)). ניצול נכון ויעיל של הזמן השיפוטי יש בו כדי לתרום לזכות הגישה לערכאות של כל בעלי הדין (ראו </w:t>
      </w:r>
      <w:hyperlink r:id="rId16" w:history="1">
        <w:r>
          <w:rPr>
            <w:rStyle w:val="Hyperlink"/>
            <w:rFonts w:ascii="David" w:hAnsi="David" w:cs="David"/>
            <w:b/>
            <w:bCs/>
            <w:rtl/>
          </w:rPr>
          <w:t>ע"א 8166/11</w:t>
        </w:r>
      </w:hyperlink>
      <w:r>
        <w:rPr>
          <w:rFonts w:ascii="David" w:hAnsi="David" w:cs="David"/>
          <w:b/>
          <w:bCs/>
          <w:rtl/>
        </w:rPr>
        <w:t xml:space="preserve"> חברת אלי ראובן בנייה והשקעות בע"מ (בפירוק) נ' נ. אלה חברה קבלנית לבניין (1972) בע"מ [פורסם בנבו] (12.4.2015, בפס' 24)). [...]  בפס' 31 לפסק דינה של כב' השופטת ברק-ארז; אבישי הדר, שימוש לרעה בהליכי משפט – הגנה דיונית מפני ניצול לרעה של זכות הגישה לערכאות (2013)); </w:t>
      </w:r>
      <w:r>
        <w:rPr>
          <w:rFonts w:ascii="David" w:hAnsi="David" w:cs="David"/>
          <w:b/>
          <w:bCs/>
          <w:rtl/>
        </w:rPr>
        <w:lastRenderedPageBreak/>
        <w:t xml:space="preserve">והן במישור הזכות החוקתית לגישה לערכאות (ראו למשל </w:t>
      </w:r>
      <w:hyperlink r:id="rId17" w:history="1">
        <w:r>
          <w:rPr>
            <w:rStyle w:val="Hyperlink"/>
            <w:rFonts w:ascii="David" w:hAnsi="David" w:cs="David"/>
            <w:b/>
            <w:bCs/>
            <w:rtl/>
          </w:rPr>
          <w:t>רע"א 3454/04</w:t>
        </w:r>
      </w:hyperlink>
      <w:r>
        <w:rPr>
          <w:rFonts w:ascii="David" w:hAnsi="David" w:cs="David"/>
          <w:b/>
          <w:bCs/>
          <w:rtl/>
        </w:rPr>
        <w:t xml:space="preserve"> </w:t>
      </w:r>
      <w:proofErr w:type="spellStart"/>
      <w:r>
        <w:rPr>
          <w:rFonts w:ascii="David" w:hAnsi="David" w:cs="David"/>
          <w:b/>
          <w:bCs/>
          <w:rtl/>
        </w:rPr>
        <w:t>ורקר</w:t>
      </w:r>
      <w:proofErr w:type="spellEnd"/>
      <w:r>
        <w:rPr>
          <w:rFonts w:ascii="David" w:hAnsi="David" w:cs="David"/>
          <w:b/>
          <w:bCs/>
          <w:rtl/>
        </w:rPr>
        <w:t xml:space="preserve"> נ' הראל [פורסם בנבו] (5.6.2005); </w:t>
      </w:r>
      <w:hyperlink r:id="rId18" w:history="1">
        <w:r>
          <w:rPr>
            <w:rStyle w:val="Hyperlink"/>
            <w:rFonts w:ascii="David" w:hAnsi="David" w:cs="David"/>
            <w:b/>
            <w:bCs/>
            <w:rtl/>
          </w:rPr>
          <w:t>בש"א 6479/06</w:t>
        </w:r>
      </w:hyperlink>
      <w:r>
        <w:rPr>
          <w:rFonts w:ascii="David" w:hAnsi="David" w:cs="David"/>
          <w:b/>
          <w:bCs/>
          <w:rtl/>
        </w:rPr>
        <w:t xml:space="preserve"> בנק דיסקונט לישראל בע"מ נ' </w:t>
      </w:r>
      <w:proofErr w:type="spellStart"/>
      <w:r>
        <w:rPr>
          <w:rFonts w:ascii="David" w:hAnsi="David" w:cs="David"/>
          <w:b/>
          <w:bCs/>
          <w:rtl/>
        </w:rPr>
        <w:t>שנפ</w:t>
      </w:r>
      <w:proofErr w:type="spellEnd"/>
      <w:r>
        <w:rPr>
          <w:rFonts w:ascii="David" w:hAnsi="David" w:cs="David"/>
          <w:b/>
          <w:bCs/>
          <w:rtl/>
        </w:rPr>
        <w:t xml:space="preserve"> [פורסם בנבו] (15.1.2007, פס' 8 לפסק דינה של כב' הנשיאה ד' ביניש)</w:t>
      </w:r>
      <w:r>
        <w:rPr>
          <w:rFonts w:ascii="David" w:hAnsi="David" w:cs="David"/>
          <w:rtl/>
        </w:rPr>
        <w:t xml:space="preserve">). </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t>19.</w:t>
      </w:r>
      <w:r>
        <w:rPr>
          <w:rFonts w:ascii="David" w:hAnsi="David" w:cs="David"/>
          <w:rtl/>
        </w:rPr>
        <w:tab/>
        <w:t xml:space="preserve">הרושם המתקבל מבקשת האב הוא הכברת הליכים ללא צורך (ראו תקנה 4 </w:t>
      </w:r>
      <w:proofErr w:type="spellStart"/>
      <w:r>
        <w:rPr>
          <w:rFonts w:ascii="David" w:hAnsi="David" w:cs="David"/>
          <w:rtl/>
        </w:rPr>
        <w:t>לתקסד"א</w:t>
      </w:r>
      <w:proofErr w:type="spellEnd"/>
      <w:r>
        <w:rPr>
          <w:rFonts w:ascii="David" w:hAnsi="David" w:cs="David"/>
          <w:rtl/>
        </w:rPr>
        <w:t xml:space="preserve">). יודגש שהאם, שגם ה יא הגישה תביעה לאחריות הורית והסדרי שהות שנסגרה אף היא בפסק הדין לא התנגדה ואינה מתנגדת למתן פסק הדין, אופן נתינתו ומתנגדת לבקשה. </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t>20.</w:t>
      </w:r>
      <w:r>
        <w:rPr>
          <w:rFonts w:ascii="David" w:hAnsi="David" w:cs="David"/>
          <w:rtl/>
        </w:rPr>
        <w:tab/>
        <w:t>לא מצאתי בבקשה כל הסבר מה טעם עלי לסטות מאימוץ חוות הדעת על פי הקבוע בפסק הדין, אין לפני כל הסבר באשר לאותן ראיות שבדעת האב להציג  או לחקור עליהן (ראו תקנה 17 לתקנות בית  המשפט לענייני משפחה (סדרי דין) תשפ"א – 2020).</w:t>
      </w:r>
    </w:p>
    <w:p w:rsidR="001F705A" w:rsidRDefault="001F705A" w:rsidP="001F705A">
      <w:pPr>
        <w:pStyle w:val="normal-p"/>
        <w:bidi/>
        <w:spacing w:line="360" w:lineRule="auto"/>
        <w:ind w:left="714" w:hanging="630"/>
        <w:jc w:val="both"/>
        <w:rPr>
          <w:rFonts w:ascii="David" w:hAnsi="David" w:cs="David"/>
          <w:rtl/>
        </w:rPr>
      </w:pPr>
      <w:r>
        <w:rPr>
          <w:rFonts w:ascii="David" w:hAnsi="David" w:cs="David"/>
          <w:rtl/>
        </w:rPr>
        <w:t>21.</w:t>
      </w:r>
      <w:r>
        <w:rPr>
          <w:rFonts w:ascii="David" w:hAnsi="David" w:cs="David"/>
          <w:rtl/>
        </w:rPr>
        <w:tab/>
        <w:t xml:space="preserve">לא בכדי הובאו בפתח החלטה זו ההליכים הקשורים בצווי ההגנה. במסגרת אותם הליכים באופן חריג נדונו גם שאלות שבמהות התביעות לאחריות הורית כדי לנסות ולהביא הצדדים לתובנה המתבקשת של אחריותם למימוש טובת בנם המשותף.   </w:t>
      </w:r>
    </w:p>
    <w:p w:rsidR="001F705A" w:rsidRDefault="001F705A" w:rsidP="001F705A">
      <w:pPr>
        <w:spacing w:line="360" w:lineRule="auto"/>
        <w:ind w:left="714" w:hanging="714"/>
        <w:jc w:val="both"/>
        <w:rPr>
          <w:rFonts w:ascii="David" w:hAnsi="David"/>
          <w:rtl/>
        </w:rPr>
      </w:pPr>
      <w:r>
        <w:rPr>
          <w:rFonts w:ascii="David" w:hAnsi="David"/>
          <w:rtl/>
        </w:rPr>
        <w:t>22.</w:t>
      </w:r>
      <w:r>
        <w:rPr>
          <w:rFonts w:ascii="David" w:hAnsi="David"/>
          <w:rtl/>
        </w:rPr>
        <w:tab/>
        <w:t>בשולי הדברים מצאתי להעיר שטעות בהכרעה שיפוטית של בית משפט זה אמורה להיבחן על ידי בית המשפט המחוזי ולא על ידי ה"טועה", לכאורה, שהרי לו חשב כדברי האב ומחשבותיו לא היה מחליט כפי שהחליט.</w:t>
      </w:r>
    </w:p>
    <w:p w:rsidR="001F705A" w:rsidRDefault="001F705A" w:rsidP="001F705A">
      <w:pPr>
        <w:spacing w:line="360" w:lineRule="auto"/>
        <w:ind w:left="714" w:hanging="714"/>
        <w:jc w:val="both"/>
        <w:rPr>
          <w:rFonts w:ascii="David" w:hAnsi="David"/>
          <w:rtl/>
        </w:rPr>
      </w:pPr>
    </w:p>
    <w:p w:rsidR="001F705A" w:rsidRDefault="001F705A" w:rsidP="001F705A">
      <w:pPr>
        <w:spacing w:line="360" w:lineRule="auto"/>
        <w:ind w:left="714" w:hanging="714"/>
        <w:jc w:val="both"/>
        <w:rPr>
          <w:rFonts w:ascii="David" w:hAnsi="David"/>
          <w:b/>
          <w:bCs/>
          <w:sz w:val="28"/>
          <w:szCs w:val="28"/>
          <w:rtl/>
        </w:rPr>
      </w:pPr>
      <w:r>
        <w:rPr>
          <w:rFonts w:ascii="David" w:hAnsi="David"/>
          <w:b/>
          <w:bCs/>
          <w:sz w:val="28"/>
          <w:szCs w:val="28"/>
          <w:u w:val="single"/>
          <w:rtl/>
        </w:rPr>
        <w:t>אחרית דבר</w:t>
      </w:r>
      <w:r>
        <w:rPr>
          <w:rFonts w:ascii="David" w:hAnsi="David"/>
          <w:b/>
          <w:bCs/>
          <w:sz w:val="28"/>
          <w:szCs w:val="28"/>
          <w:rtl/>
        </w:rPr>
        <w:t>:</w:t>
      </w:r>
    </w:p>
    <w:p w:rsidR="001F705A" w:rsidRDefault="001F705A" w:rsidP="001F705A">
      <w:pPr>
        <w:spacing w:line="360" w:lineRule="auto"/>
        <w:ind w:left="714" w:hanging="714"/>
        <w:jc w:val="both"/>
        <w:rPr>
          <w:rFonts w:ascii="David" w:hAnsi="David"/>
          <w:b/>
          <w:bCs/>
          <w:sz w:val="28"/>
          <w:szCs w:val="28"/>
          <w:rtl/>
        </w:rPr>
      </w:pPr>
    </w:p>
    <w:p w:rsidR="001F705A" w:rsidRDefault="001F705A" w:rsidP="001F705A">
      <w:pPr>
        <w:spacing w:line="360" w:lineRule="auto"/>
        <w:ind w:left="714" w:hanging="714"/>
        <w:jc w:val="both"/>
        <w:rPr>
          <w:rFonts w:ascii="David" w:hAnsi="David"/>
          <w:rtl/>
        </w:rPr>
      </w:pPr>
      <w:r>
        <w:rPr>
          <w:rFonts w:ascii="David" w:hAnsi="David"/>
          <w:rtl/>
        </w:rPr>
        <w:t>23.</w:t>
      </w:r>
      <w:r>
        <w:rPr>
          <w:rFonts w:ascii="David" w:hAnsi="David"/>
          <w:rtl/>
        </w:rPr>
        <w:tab/>
        <w:t>הבקשה נדחית.</w:t>
      </w:r>
    </w:p>
    <w:p w:rsidR="001F705A" w:rsidRDefault="001F705A" w:rsidP="001F705A">
      <w:pPr>
        <w:spacing w:line="360" w:lineRule="auto"/>
        <w:ind w:left="714" w:hanging="714"/>
        <w:jc w:val="both"/>
        <w:rPr>
          <w:rFonts w:ascii="David" w:hAnsi="David"/>
          <w:rtl/>
        </w:rPr>
      </w:pPr>
    </w:p>
    <w:p w:rsidR="001F705A" w:rsidRDefault="001F705A" w:rsidP="001F705A">
      <w:pPr>
        <w:spacing w:line="360" w:lineRule="auto"/>
        <w:ind w:left="714" w:hanging="714"/>
        <w:jc w:val="both"/>
        <w:rPr>
          <w:rFonts w:ascii="David" w:hAnsi="David"/>
          <w:rtl/>
        </w:rPr>
      </w:pPr>
      <w:r>
        <w:rPr>
          <w:rFonts w:ascii="David" w:hAnsi="David"/>
          <w:rtl/>
        </w:rPr>
        <w:t>24.</w:t>
      </w:r>
      <w:r>
        <w:rPr>
          <w:rFonts w:ascii="David" w:hAnsi="David"/>
          <w:rtl/>
        </w:rPr>
        <w:tab/>
        <w:t xml:space="preserve">לאור התוצאה אליה הגעתי המבקש יישא בהוצאות המשיבה בסך 2,000 ₪ . </w:t>
      </w:r>
    </w:p>
    <w:p w:rsidR="001F705A" w:rsidRDefault="001F705A" w:rsidP="001F705A">
      <w:pPr>
        <w:spacing w:line="360" w:lineRule="auto"/>
        <w:ind w:left="714" w:hanging="714"/>
        <w:jc w:val="both"/>
        <w:rPr>
          <w:rFonts w:ascii="David" w:hAnsi="David"/>
          <w:rtl/>
        </w:rPr>
      </w:pPr>
    </w:p>
    <w:p w:rsidR="001F705A" w:rsidRDefault="001F705A" w:rsidP="001F705A">
      <w:pPr>
        <w:spacing w:line="360" w:lineRule="auto"/>
        <w:ind w:left="714" w:hanging="714"/>
        <w:jc w:val="both"/>
        <w:rPr>
          <w:rFonts w:ascii="David" w:hAnsi="David"/>
          <w:rtl/>
        </w:rPr>
      </w:pPr>
      <w:r>
        <w:rPr>
          <w:rFonts w:ascii="David" w:hAnsi="David"/>
          <w:rtl/>
        </w:rPr>
        <w:t>25.</w:t>
      </w:r>
      <w:r>
        <w:rPr>
          <w:rFonts w:ascii="David" w:hAnsi="David"/>
          <w:rtl/>
        </w:rPr>
        <w:tab/>
        <w:t>מתיר פרסום ההחלטה בהשמטת פרטים מזהים.</w:t>
      </w:r>
    </w:p>
    <w:p w:rsidR="001F705A" w:rsidRDefault="001F705A" w:rsidP="001F705A">
      <w:pPr>
        <w:spacing w:line="360" w:lineRule="auto"/>
        <w:ind w:left="714" w:hanging="714"/>
        <w:jc w:val="both"/>
        <w:rPr>
          <w:rFonts w:ascii="David" w:hAnsi="David"/>
          <w:rtl/>
        </w:rPr>
      </w:pPr>
    </w:p>
    <w:p w:rsidR="001F705A" w:rsidRDefault="001F705A" w:rsidP="001F705A">
      <w:pPr>
        <w:spacing w:line="360" w:lineRule="auto"/>
        <w:ind w:left="714" w:hanging="714"/>
        <w:jc w:val="both"/>
        <w:rPr>
          <w:rFonts w:ascii="David" w:hAnsi="David"/>
          <w:rtl/>
        </w:rPr>
      </w:pPr>
      <w:r>
        <w:rPr>
          <w:rFonts w:ascii="David" w:hAnsi="David"/>
          <w:rtl/>
        </w:rPr>
        <w:t>26.</w:t>
      </w:r>
      <w:r>
        <w:rPr>
          <w:rFonts w:ascii="David" w:hAnsi="David"/>
          <w:rtl/>
        </w:rPr>
        <w:tab/>
        <w:t>תואיל המזכירות לשלוח ההחלטה לצדדים ולסגור את הבקשה.</w:t>
      </w:r>
    </w:p>
    <w:p w:rsidR="001F705A" w:rsidRDefault="001F705A" w:rsidP="001F705A">
      <w:pPr>
        <w:spacing w:line="360" w:lineRule="auto"/>
        <w:jc w:val="both"/>
        <w:rPr>
          <w:rFonts w:ascii="Arial" w:hAnsi="Arial"/>
          <w:noProof w:val="0"/>
          <w:rtl/>
        </w:rPr>
      </w:pPr>
    </w:p>
    <w:p w:rsidR="001F705A" w:rsidRDefault="001F705A" w:rsidP="001F705A">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ט' אב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אוגוסט 2024</w:t>
          </w:r>
        </w:sdtContent>
      </w:sdt>
      <w:r>
        <w:rPr>
          <w:rFonts w:ascii="Arial" w:hAnsi="Arial"/>
          <w:noProof w:val="0"/>
          <w:rtl/>
        </w:rPr>
        <w:t>, בהעדר הצדדים.</w:t>
      </w:r>
    </w:p>
    <w:p w:rsidR="001F705A" w:rsidRDefault="001C2E90" w:rsidP="001F705A">
      <w:pPr>
        <w:tabs>
          <w:tab w:val="left" w:pos="2553"/>
        </w:tabs>
        <w:ind w:left="5040"/>
        <w:rPr>
          <w:rtl/>
        </w:rPr>
      </w:pPr>
      <w:sdt>
        <w:sdtPr>
          <w:rPr>
            <w:rtl/>
          </w:rPr>
          <w:alias w:val="2045"/>
          <w:tag w:val="2045"/>
          <w:id w:val="740689340"/>
          <w:placeholder>
            <w:docPart w:val="8CFD69F21AD74535B7B31EBEF94E3B6F"/>
          </w:placeholder>
          <w:showingPlcHdr/>
          <w:text w:multiLine="1"/>
        </w:sdtPr>
        <w:sdtEndPr/>
        <w:sdtContent>
          <w:r w:rsidR="001F705A">
            <w:rPr>
              <w:rtl/>
            </w:rPr>
            <w:t xml:space="preserve">     </w:t>
          </w:r>
        </w:sdtContent>
      </w:sdt>
    </w:p>
    <w:p w:rsidR="001F705A" w:rsidRDefault="001F705A" w:rsidP="001F705A">
      <w:pPr>
        <w:tabs>
          <w:tab w:val="left" w:pos="2553"/>
        </w:tabs>
        <w:rPr>
          <w:rtl/>
        </w:rPr>
      </w:pPr>
      <w:r>
        <w:rPr>
          <w:rtl/>
        </w:rPr>
        <w:tab/>
      </w:r>
      <w:r>
        <w:rPr>
          <w:rtl/>
        </w:rPr>
        <w:tab/>
      </w:r>
      <w:r>
        <w:rPr>
          <w:rtl/>
        </w:rPr>
        <w:tab/>
      </w:r>
      <w:r>
        <w:rPr>
          <w:rtl/>
        </w:rPr>
        <w:tab/>
        <w:t xml:space="preserve">        </w:t>
      </w:r>
      <w:sdt>
        <w:sdtPr>
          <w:rPr>
            <w:rtl/>
          </w:rPr>
          <w:alias w:val="MergeField"/>
          <w:tag w:val="1237"/>
          <w:id w:val="1012273451"/>
        </w:sdtPr>
        <w:sdtEndPr/>
        <w:sdtContent>
          <w:r>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1F705A" w:rsidRDefault="001F705A" w:rsidP="001F705A">
      <w:pPr>
        <w:tabs>
          <w:tab w:val="left" w:pos="2553"/>
        </w:tabs>
        <w:rPr>
          <w:rFonts w:ascii="Arial" w:hAnsi="Arial"/>
          <w:noProof w:val="0"/>
        </w:rPr>
      </w:pPr>
    </w:p>
    <w:p w:rsidR="001F705A" w:rsidRDefault="001F705A">
      <w:pPr>
        <w:rPr>
          <w:rtl/>
        </w:rPr>
      </w:pPr>
    </w:p>
    <w:sectPr w:rsidR="001F705A"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05A"/>
    <w:rsid w:val="001C2E90"/>
    <w:rsid w:val="001F705A"/>
    <w:rsid w:val="0028080E"/>
    <w:rsid w:val="00312299"/>
    <w:rsid w:val="00512360"/>
    <w:rsid w:val="00C11DC6"/>
    <w:rsid w:val="00DB42E9"/>
    <w:rsid w:val="00EA0D55"/>
    <w:rsid w:val="00F51A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DB7BF7-1E59-4145-8432-987129EE6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705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semiHidden/>
    <w:unhideWhenUsed/>
    <w:rsid w:val="001F705A"/>
    <w:rPr>
      <w:color w:val="0000FF"/>
      <w:u w:val="single"/>
    </w:rPr>
  </w:style>
  <w:style w:type="paragraph" w:customStyle="1" w:styleId="normal-p">
    <w:name w:val="normal-p"/>
    <w:basedOn w:val="a"/>
    <w:rsid w:val="001F705A"/>
    <w:pPr>
      <w:bidi w:val="0"/>
      <w:spacing w:before="100" w:beforeAutospacing="1" w:after="100" w:afterAutospacing="1"/>
    </w:pPr>
    <w:rPr>
      <w:rFonts w:ascii="Arial Unicode MS" w:eastAsia="Arial Unicode MS" w:hAnsi="Arial Unicode MS" w:cs="Arial Unicode MS"/>
      <w:noProof w:val="0"/>
      <w:lang w:eastAsia="he-IL"/>
    </w:rPr>
  </w:style>
  <w:style w:type="character" w:customStyle="1" w:styleId="normal-h-h">
    <w:name w:val="normal-h-h"/>
    <w:basedOn w:val="a0"/>
    <w:rsid w:val="001F705A"/>
  </w:style>
  <w:style w:type="character" w:customStyle="1" w:styleId="normal-h">
    <w:name w:val="normal-h"/>
    <w:basedOn w:val="a0"/>
    <w:rsid w:val="001F705A"/>
  </w:style>
  <w:style w:type="table" w:styleId="a3">
    <w:name w:val="Table Grid"/>
    <w:basedOn w:val="a1"/>
    <w:rsid w:val="001F705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1F705A"/>
    <w:pPr>
      <w:tabs>
        <w:tab w:val="center" w:pos="4153"/>
        <w:tab w:val="right" w:pos="8306"/>
      </w:tabs>
    </w:pPr>
  </w:style>
  <w:style w:type="character" w:customStyle="1" w:styleId="a5">
    <w:name w:val="כותרת עליונה תו"/>
    <w:basedOn w:val="a0"/>
    <w:link w:val="a4"/>
    <w:semiHidden/>
    <w:rsid w:val="001F705A"/>
    <w:rPr>
      <w:rFonts w:ascii="Times New Roman" w:eastAsia="Times New Roman" w:hAnsi="Times New Roman" w:cs="David"/>
      <w:noProof/>
      <w:sz w:val="24"/>
      <w:szCs w:val="24"/>
    </w:rPr>
  </w:style>
  <w:style w:type="paragraph" w:styleId="NormalWeb">
    <w:name w:val="Normal (Web)"/>
    <w:basedOn w:val="a"/>
    <w:uiPriority w:val="99"/>
    <w:semiHidden/>
    <w:unhideWhenUsed/>
    <w:rsid w:val="001F705A"/>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477878">
      <w:bodyDiv w:val="1"/>
      <w:marLeft w:val="0"/>
      <w:marRight w:val="0"/>
      <w:marTop w:val="0"/>
      <w:marBottom w:val="0"/>
      <w:divBdr>
        <w:top w:val="none" w:sz="0" w:space="0" w:color="auto"/>
        <w:left w:val="none" w:sz="0" w:space="0" w:color="auto"/>
        <w:bottom w:val="none" w:sz="0" w:space="0" w:color="auto"/>
        <w:right w:val="none" w:sz="0" w:space="0" w:color="auto"/>
      </w:divBdr>
    </w:div>
    <w:div w:id="15158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186143" TargetMode="External"/><Relationship Id="rId13" Type="http://schemas.openxmlformats.org/officeDocument/2006/relationships/hyperlink" Target="http://www.nevo.co.il/law/74172" TargetMode="External"/><Relationship Id="rId18" Type="http://schemas.openxmlformats.org/officeDocument/2006/relationships/hyperlink" Target="http://www.nevo.co.il/case/6068122" TargetMode="External"/><Relationship Id="rId3" Type="http://schemas.openxmlformats.org/officeDocument/2006/relationships/webSettings" Target="webSettings.xml"/><Relationship Id="rId21" Type="http://schemas.openxmlformats.org/officeDocument/2006/relationships/glossaryDocument" Target="glossary/document.xml"/><Relationship Id="rId7" Type="http://schemas.openxmlformats.org/officeDocument/2006/relationships/hyperlink" Target="http://www.nevo.co.il/case/17940405" TargetMode="External"/><Relationship Id="rId12" Type="http://schemas.openxmlformats.org/officeDocument/2006/relationships/hyperlink" Target="http://www.nevo.co.il/case/18653850" TargetMode="External"/><Relationship Id="rId17" Type="http://schemas.openxmlformats.org/officeDocument/2006/relationships/hyperlink" Target="http://www.nevo.co.il/case/5896641" TargetMode="External"/><Relationship Id="rId2" Type="http://schemas.openxmlformats.org/officeDocument/2006/relationships/settings" Target="settings.xml"/><Relationship Id="rId16" Type="http://schemas.openxmlformats.org/officeDocument/2006/relationships/hyperlink" Target="http://www.nevo.co.il/case/5596956"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evo.co.il/safrut/bookgroup/2156" TargetMode="External"/><Relationship Id="rId11" Type="http://schemas.openxmlformats.org/officeDocument/2006/relationships/hyperlink" Target="http://www.nevo.co.il/case/6241046" TargetMode="External"/><Relationship Id="rId5" Type="http://schemas.openxmlformats.org/officeDocument/2006/relationships/hyperlink" Target="http://www.nevo.co.il/case/5873342" TargetMode="External"/><Relationship Id="rId15" Type="http://schemas.openxmlformats.org/officeDocument/2006/relationships/hyperlink" Target="http://www.nevo.co.il/case/5912661" TargetMode="External"/><Relationship Id="rId10" Type="http://schemas.openxmlformats.org/officeDocument/2006/relationships/hyperlink" Target="http://www.nevo.co.il/case/5964656" TargetMode="External"/><Relationship Id="rId19"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hyperlink" Target="http://www.nevo.co.il/case/6240104" TargetMode="External"/><Relationship Id="rId14" Type="http://schemas.openxmlformats.org/officeDocument/2006/relationships/hyperlink" Target="http://www.nevo.co.il/case/20007125"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FD69F21AD74535B7B31EBEF94E3B6F"/>
        <w:category>
          <w:name w:val="כללי"/>
          <w:gallery w:val="placeholder"/>
        </w:category>
        <w:types>
          <w:type w:val="bbPlcHdr"/>
        </w:types>
        <w:behaviors>
          <w:behavior w:val="content"/>
        </w:behaviors>
        <w:guid w:val="{87F805FD-264C-4FA9-864A-D8B8DE68906D}"/>
      </w:docPartPr>
      <w:docPartBody>
        <w:p w:rsidR="000F706D" w:rsidRDefault="00FC3B9F" w:rsidP="00FC3B9F">
          <w:pPr>
            <w:pStyle w:val="8CFD69F21AD74535B7B31EBEF94E3B6F"/>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B9F"/>
    <w:rsid w:val="000F706D"/>
    <w:rsid w:val="006A3822"/>
    <w:rsid w:val="008D5889"/>
    <w:rsid w:val="00A25A3C"/>
    <w:rsid w:val="00FC3B9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CFD69F21AD74535B7B31EBEF94E3B6F">
    <w:name w:val="8CFD69F21AD74535B7B31EBEF94E3B6F"/>
    <w:rsid w:val="00FC3B9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2320</Words>
  <Characters>11605</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2024-09-01T06:06:00Z</dcterms:created>
  <dcterms:modified xsi:type="dcterms:W3CDTF">2024-09-01T06:06:00Z</dcterms:modified>
</cp:coreProperties>
</file>